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6B0D" w:rsidRDefault="00FA095C">
      <w:pPr>
        <w:rPr>
          <w:b/>
        </w:rPr>
      </w:pPr>
      <w:bookmarkStart w:id="0" w:name="_GoBack"/>
      <w:bookmarkEnd w:id="0"/>
      <w:r>
        <w:rPr>
          <w:b/>
        </w:rPr>
        <w:t>CCG Neurological FOI Questions</w:t>
      </w:r>
    </w:p>
    <w:p w:rsidR="00C96B0D" w:rsidRDefault="00C96B0D">
      <w:pPr>
        <w:rPr>
          <w:b/>
        </w:rPr>
      </w:pPr>
    </w:p>
    <w:p w:rsidR="00C96B0D" w:rsidRDefault="00FA095C">
      <w:pPr>
        <w:ind w:left="-140" w:right="-380"/>
        <w:jc w:val="both"/>
        <w:rPr>
          <w:b/>
        </w:rPr>
      </w:pPr>
      <w:r>
        <w:rPr>
          <w:b/>
          <w:color w:val="222222"/>
        </w:rPr>
        <w:t xml:space="preserve">Whilst we understand that some of the questions may not be answerable due to the way that the data concerned is held and the time it might take to collate the data, for questions 2, 3, 4 and 8 we believe that there is no reason why the CCG would not be able to answer the questions. </w:t>
      </w:r>
    </w:p>
    <w:p w:rsidR="00C96B0D" w:rsidRDefault="00C96B0D"/>
    <w:p w:rsidR="00C96B0D" w:rsidRDefault="00FA095C">
      <w:r>
        <w:t>1. As of 1st February 2017 or the latest known date, how many residents in your CCG area have one of the following neurological conditions, as specified? If possible, please break this information down by age. If not possible, please provide the total for each condition.</w:t>
      </w:r>
    </w:p>
    <w:p w:rsidR="00C96B0D" w:rsidRDefault="00C96B0D"/>
    <w:p w:rsidR="00C96B0D" w:rsidRDefault="00FA095C">
      <w:r>
        <w:t>If, due to the Data Protection Act, completing the table would prejudice the data protection rights of any individual, please ignore the breakdown by age and include only the total for each neurological condition.</w:t>
      </w:r>
    </w:p>
    <w:p w:rsidR="00C96B0D" w:rsidRDefault="00C96B0D"/>
    <w:tbl>
      <w:tblPr>
        <w:tblStyle w:val="a"/>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1290"/>
        <w:gridCol w:w="1290"/>
        <w:gridCol w:w="1290"/>
      </w:tblGrid>
      <w:tr w:rsidR="00C96B0D" w:rsidTr="00C96B0D">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Parkinson’s disease</w:t>
            </w: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Multiple sclerosis (MS)</w:t>
            </w:r>
            <w:r>
              <w:rPr>
                <w:b/>
              </w:rPr>
              <w:tab/>
            </w: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Motor neurone disease (MND)</w:t>
            </w:r>
            <w:r>
              <w:rPr>
                <w:b/>
              </w:rPr>
              <w:tab/>
            </w: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Huntington’s disease</w:t>
            </w: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Acquired traumatic brain injury</w:t>
            </w:r>
            <w:r>
              <w:rPr>
                <w:b/>
              </w:rPr>
              <w:tab/>
            </w:r>
          </w:p>
        </w:tc>
        <w:tc>
          <w:tcPr>
            <w:tcW w:w="1289" w:type="dxa"/>
            <w:tcMar>
              <w:top w:w="100" w:type="dxa"/>
              <w:left w:w="100" w:type="dxa"/>
              <w:bottom w:w="100" w:type="dxa"/>
              <w:right w:w="100" w:type="dxa"/>
            </w:tcMar>
          </w:tcPr>
          <w:p w:rsidR="00C96B0D" w:rsidRDefault="00FA095C">
            <w:pPr>
              <w:widowControl w:val="0"/>
              <w:spacing w:line="240" w:lineRule="auto"/>
              <w:contextualSpacing w:val="0"/>
            </w:pPr>
            <w:r>
              <w:rPr>
                <w:b/>
              </w:rPr>
              <w:t xml:space="preserve">Date to which this data applies </w:t>
            </w: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0 – 17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18 - 24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25 - 34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35 - 44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45 - 54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55 - 64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65 – 74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75 – 84 years</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85 years +</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289" w:type="dxa"/>
            <w:tcMar>
              <w:top w:w="100" w:type="dxa"/>
              <w:left w:w="100" w:type="dxa"/>
              <w:bottom w:w="100" w:type="dxa"/>
              <w:right w:w="100" w:type="dxa"/>
            </w:tcMar>
          </w:tcPr>
          <w:p w:rsidR="00C96B0D" w:rsidRDefault="00FA095C">
            <w:pPr>
              <w:widowControl w:val="0"/>
              <w:spacing w:line="240" w:lineRule="auto"/>
              <w:contextualSpacing w:val="0"/>
            </w:pPr>
            <w:r>
              <w:t>Total</w:t>
            </w: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c>
          <w:tcPr>
            <w:tcW w:w="1289"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pPr>
        <w:ind w:left="720"/>
      </w:pPr>
    </w:p>
    <w:p w:rsidR="008937C8" w:rsidRPr="008937C8" w:rsidRDefault="008937C8" w:rsidP="008809D9">
      <w:pPr>
        <w:ind w:left="-284"/>
        <w:rPr>
          <w:color w:val="0070C0"/>
        </w:rPr>
      </w:pPr>
      <w:r>
        <w:rPr>
          <w:color w:val="0070C0"/>
        </w:rPr>
        <w:t>NHS South Sefton CCG does not hold this data, please refer to NHS England.</w:t>
      </w:r>
    </w:p>
    <w:p w:rsidR="008937C8" w:rsidRDefault="008937C8" w:rsidP="008809D9">
      <w:pPr>
        <w:ind w:left="-284"/>
      </w:pPr>
    </w:p>
    <w:p w:rsidR="003501C3" w:rsidRPr="003501C3" w:rsidRDefault="003501C3" w:rsidP="008809D9">
      <w:pPr>
        <w:spacing w:line="240" w:lineRule="auto"/>
        <w:ind w:left="-284"/>
        <w:rPr>
          <w:rFonts w:eastAsia="Times New Roman"/>
          <w:color w:val="0070C0"/>
        </w:rPr>
      </w:pPr>
      <w:r w:rsidRPr="003501C3">
        <w:rPr>
          <w:rFonts w:eastAsia="Times New Roman"/>
          <w:color w:val="0070C0"/>
        </w:rPr>
        <w:t>NHS England.</w:t>
      </w:r>
    </w:p>
    <w:p w:rsidR="003501C3" w:rsidRPr="003501C3" w:rsidRDefault="00BF0E9D" w:rsidP="008809D9">
      <w:pPr>
        <w:spacing w:line="240" w:lineRule="auto"/>
        <w:ind w:left="-284"/>
        <w:rPr>
          <w:rFonts w:eastAsia="Times New Roman"/>
          <w:color w:val="0070C0"/>
        </w:rPr>
      </w:pPr>
      <w:hyperlink r:id="rId7" w:history="1">
        <w:r w:rsidR="003501C3" w:rsidRPr="003501C3">
          <w:rPr>
            <w:rFonts w:eastAsia="Times New Roman"/>
            <w:color w:val="0070C0"/>
          </w:rPr>
          <w:t>england.contactus@nhs.net</w:t>
        </w:r>
      </w:hyperlink>
    </w:p>
    <w:p w:rsidR="008937C8" w:rsidRDefault="008937C8">
      <w:pPr>
        <w:ind w:left="720"/>
      </w:pPr>
    </w:p>
    <w:p w:rsidR="00C96B0D" w:rsidRDefault="00FA095C">
      <w:r>
        <w:t xml:space="preserve">2. What services are </w:t>
      </w:r>
      <w:proofErr w:type="gramStart"/>
      <w:r>
        <w:t>provided/commissioned</w:t>
      </w:r>
      <w:proofErr w:type="gramEnd"/>
      <w:r>
        <w:t xml:space="preserve"> by the CCG for individuals with the neurological conditions specified in this FOIA request in the CCG area? How many people were accessing these services on 2nd January 2017? If it is not possible to state figures for this date, please use the latest date known and state what date this is.</w:t>
      </w:r>
    </w:p>
    <w:p w:rsidR="00C96B0D" w:rsidRDefault="00C96B0D"/>
    <w:p w:rsidR="00C96B0D" w:rsidRDefault="00FA095C">
      <w:pPr>
        <w:rPr>
          <w:b/>
        </w:rPr>
      </w:pPr>
      <w:r>
        <w:t xml:space="preserve">For this question, if you could answer whether a service is available with a </w:t>
      </w:r>
      <w:r>
        <w:rPr>
          <w:b/>
        </w:rPr>
        <w:t>‘Yes’</w:t>
      </w:r>
      <w:r>
        <w:t xml:space="preserve"> a </w:t>
      </w:r>
      <w:r>
        <w:rPr>
          <w:b/>
        </w:rPr>
        <w:t>‘No’</w:t>
      </w:r>
      <w:r>
        <w:t xml:space="preserve"> or a </w:t>
      </w:r>
      <w:r>
        <w:rPr>
          <w:b/>
        </w:rPr>
        <w:t>‘do not know’</w:t>
      </w:r>
      <w:r>
        <w:t xml:space="preserve">. </w:t>
      </w:r>
      <w:r>
        <w:rPr>
          <w:b/>
        </w:rPr>
        <w:t>Please do not leave any blanks in the first column.</w:t>
      </w:r>
    </w:p>
    <w:p w:rsidR="00C96B0D" w:rsidRDefault="00C96B0D"/>
    <w:tbl>
      <w:tblPr>
        <w:tblStyle w:val="a0"/>
        <w:tblW w:w="9234"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5"/>
        <w:gridCol w:w="1372"/>
        <w:gridCol w:w="1617"/>
        <w:gridCol w:w="1695"/>
        <w:gridCol w:w="2805"/>
      </w:tblGrid>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rPr>
                <w:b/>
              </w:rPr>
              <w:t>Service</w:t>
            </w:r>
          </w:p>
        </w:tc>
        <w:tc>
          <w:tcPr>
            <w:tcW w:w="1372" w:type="dxa"/>
            <w:tcMar>
              <w:top w:w="100" w:type="dxa"/>
              <w:left w:w="100" w:type="dxa"/>
              <w:bottom w:w="100" w:type="dxa"/>
              <w:right w:w="100" w:type="dxa"/>
            </w:tcMar>
          </w:tcPr>
          <w:p w:rsidR="00C96B0D" w:rsidRDefault="00FA095C">
            <w:pPr>
              <w:widowControl w:val="0"/>
              <w:spacing w:line="240" w:lineRule="auto"/>
              <w:contextualSpacing w:val="0"/>
            </w:pPr>
            <w:r>
              <w:rPr>
                <w:b/>
              </w:rPr>
              <w:t xml:space="preserve">Available (yes/ </w:t>
            </w:r>
          </w:p>
          <w:p w:rsidR="00C96B0D" w:rsidRDefault="00FA095C">
            <w:pPr>
              <w:widowControl w:val="0"/>
              <w:spacing w:line="240" w:lineRule="auto"/>
              <w:contextualSpacing w:val="0"/>
            </w:pPr>
            <w:r>
              <w:rPr>
                <w:b/>
              </w:rPr>
              <w:t>no/do not know)</w:t>
            </w:r>
          </w:p>
        </w:tc>
        <w:tc>
          <w:tcPr>
            <w:tcW w:w="1617" w:type="dxa"/>
            <w:tcMar>
              <w:top w:w="100" w:type="dxa"/>
              <w:left w:w="100" w:type="dxa"/>
              <w:bottom w:w="100" w:type="dxa"/>
              <w:right w:w="100" w:type="dxa"/>
            </w:tcMar>
          </w:tcPr>
          <w:p w:rsidR="00C96B0D" w:rsidRDefault="00FA095C">
            <w:pPr>
              <w:widowControl w:val="0"/>
              <w:spacing w:line="240" w:lineRule="auto"/>
              <w:contextualSpacing w:val="0"/>
            </w:pPr>
            <w:r>
              <w:rPr>
                <w:b/>
              </w:rPr>
              <w:t>Number of people accessing (if known)</w:t>
            </w:r>
          </w:p>
        </w:tc>
        <w:tc>
          <w:tcPr>
            <w:tcW w:w="1695" w:type="dxa"/>
            <w:tcMar>
              <w:top w:w="100" w:type="dxa"/>
              <w:left w:w="100" w:type="dxa"/>
              <w:bottom w:w="100" w:type="dxa"/>
              <w:right w:w="100" w:type="dxa"/>
            </w:tcMar>
          </w:tcPr>
          <w:p w:rsidR="00C96B0D" w:rsidRDefault="00FA095C">
            <w:pPr>
              <w:widowControl w:val="0"/>
              <w:spacing w:line="240" w:lineRule="auto"/>
              <w:contextualSpacing w:val="0"/>
            </w:pPr>
            <w:r>
              <w:rPr>
                <w:b/>
              </w:rPr>
              <w:t>Date to which this data applies</w:t>
            </w:r>
          </w:p>
        </w:tc>
        <w:tc>
          <w:tcPr>
            <w:tcW w:w="2805" w:type="dxa"/>
            <w:tcMar>
              <w:top w:w="100" w:type="dxa"/>
              <w:left w:w="100" w:type="dxa"/>
              <w:bottom w:w="100" w:type="dxa"/>
              <w:right w:w="100" w:type="dxa"/>
            </w:tcMar>
          </w:tcPr>
          <w:p w:rsidR="00C96B0D" w:rsidRDefault="00FA095C">
            <w:pPr>
              <w:widowControl w:val="0"/>
              <w:spacing w:line="240" w:lineRule="auto"/>
              <w:contextualSpacing w:val="0"/>
              <w:rPr>
                <w:b/>
              </w:rPr>
            </w:pPr>
            <w:r>
              <w:rPr>
                <w:b/>
              </w:rPr>
              <w:t>Any additional information</w:t>
            </w: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nurse (neuroscience or neurology specialist nurse or specialist nurse for specific neurological condition)</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Neurologist</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residential neurological centre</w:t>
            </w:r>
            <w:r>
              <w:rPr>
                <w:vertAlign w:val="superscript"/>
              </w:rPr>
              <w:footnoteReference w:id="1"/>
            </w:r>
            <w:r>
              <w:t xml:space="preserve"> in CCG area</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residential neurological centre outside CCG area</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Non-specialist residential care e.g. older people’s nursing home or care home</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 xml:space="preserve">Specialist residential </w:t>
            </w:r>
            <w:r>
              <w:lastRenderedPageBreak/>
              <w:t>respite care</w:t>
            </w:r>
          </w:p>
        </w:tc>
        <w:tc>
          <w:tcPr>
            <w:tcW w:w="1372" w:type="dxa"/>
            <w:tcMar>
              <w:top w:w="100" w:type="dxa"/>
              <w:left w:w="100" w:type="dxa"/>
              <w:bottom w:w="100" w:type="dxa"/>
              <w:right w:w="100" w:type="dxa"/>
            </w:tcMar>
          </w:tcPr>
          <w:p w:rsidR="00C96B0D" w:rsidRDefault="00BF0E9D" w:rsidP="00BF0E9D">
            <w:pPr>
              <w:widowControl w:val="0"/>
              <w:spacing w:line="240" w:lineRule="auto"/>
              <w:contextualSpacing w:val="0"/>
            </w:pPr>
            <w:r w:rsidRPr="00BF0E9D">
              <w:rPr>
                <w:color w:val="0070C0"/>
              </w:rPr>
              <w:lastRenderedPageBreak/>
              <w:t xml:space="preserve">do not know </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lastRenderedPageBreak/>
              <w:t>Specialist day respite care</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 xml:space="preserve">Specialist domiciliary care for people with neurological conditions </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maintenance or short term rehabilitation for people with neurological conditions</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slow stream rehabilitation for people with neurological conditions (‘step-up step-down’)</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Post-acute rehabilitation.</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Community rehab team</w:t>
            </w:r>
          </w:p>
        </w:tc>
        <w:tc>
          <w:tcPr>
            <w:tcW w:w="1372" w:type="dxa"/>
            <w:tcMar>
              <w:top w:w="100" w:type="dxa"/>
              <w:left w:w="100" w:type="dxa"/>
              <w:bottom w:w="100" w:type="dxa"/>
              <w:right w:w="100" w:type="dxa"/>
            </w:tcMar>
          </w:tcPr>
          <w:p w:rsidR="00C96B0D" w:rsidRPr="008937C8" w:rsidRDefault="000565AC">
            <w:pPr>
              <w:widowControl w:val="0"/>
              <w:spacing w:line="240" w:lineRule="auto"/>
              <w:contextualSpacing w:val="0"/>
              <w:rPr>
                <w:color w:val="0070C0"/>
              </w:rPr>
            </w:pPr>
            <w:r w:rsidRPr="008937C8">
              <w:rPr>
                <w:color w:val="0070C0"/>
              </w:rPr>
              <w:t>yes</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 xml:space="preserve">Specialist post-acute or post-diagnosis </w:t>
            </w:r>
            <w:proofErr w:type="spellStart"/>
            <w:r>
              <w:t xml:space="preserve">self </w:t>
            </w:r>
            <w:proofErr w:type="spellEnd"/>
            <w:r>
              <w:t>management/</w:t>
            </w:r>
            <w:proofErr w:type="spellStart"/>
            <w:r>
              <w:t>self care</w:t>
            </w:r>
            <w:proofErr w:type="spellEnd"/>
            <w:r>
              <w:t xml:space="preserve"> for people with neurological conditions </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Assistive technology – daily living</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Assistive technology – communication</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Specialist physiotherapy</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 xml:space="preserve">Specialist </w:t>
            </w:r>
            <w:r>
              <w:lastRenderedPageBreak/>
              <w:t>occupational therapy</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lastRenderedPageBreak/>
              <w:t xml:space="preserve">do not </w:t>
            </w:r>
            <w:r w:rsidRPr="00BF0E9D">
              <w:rPr>
                <w:color w:val="0070C0"/>
              </w:rPr>
              <w:lastRenderedPageBreak/>
              <w:t>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lastRenderedPageBreak/>
              <w:t>Neuropsychological support</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Neuropsychiatric support</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Early point of diagnosis wellbeing advice and information</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Other (please define)</w:t>
            </w:r>
          </w:p>
        </w:tc>
        <w:tc>
          <w:tcPr>
            <w:tcW w:w="1372" w:type="dxa"/>
            <w:tcMar>
              <w:top w:w="100" w:type="dxa"/>
              <w:left w:w="100" w:type="dxa"/>
              <w:bottom w:w="100" w:type="dxa"/>
              <w:right w:w="100" w:type="dxa"/>
            </w:tcMar>
          </w:tcPr>
          <w:p w:rsidR="00C96B0D" w:rsidRDefault="00BF0E9D">
            <w:pPr>
              <w:widowControl w:val="0"/>
              <w:spacing w:line="240" w:lineRule="auto"/>
              <w:contextualSpacing w:val="0"/>
            </w:pPr>
            <w:r w:rsidRPr="00BF0E9D">
              <w:rPr>
                <w:color w:val="0070C0"/>
              </w:rPr>
              <w:t>do not know</w:t>
            </w: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r w:rsidR="00C96B0D" w:rsidTr="00C96B0D">
        <w:tc>
          <w:tcPr>
            <w:tcW w:w="1745" w:type="dxa"/>
            <w:tcMar>
              <w:top w:w="100" w:type="dxa"/>
              <w:left w:w="100" w:type="dxa"/>
              <w:bottom w:w="100" w:type="dxa"/>
              <w:right w:w="100" w:type="dxa"/>
            </w:tcMar>
          </w:tcPr>
          <w:p w:rsidR="00C96B0D" w:rsidRDefault="00FA095C">
            <w:pPr>
              <w:widowControl w:val="0"/>
              <w:spacing w:line="240" w:lineRule="auto"/>
              <w:contextualSpacing w:val="0"/>
            </w:pPr>
            <w:r>
              <w:t>Total</w:t>
            </w:r>
          </w:p>
        </w:tc>
        <w:tc>
          <w:tcPr>
            <w:tcW w:w="1372" w:type="dxa"/>
            <w:tcMar>
              <w:top w:w="100" w:type="dxa"/>
              <w:left w:w="100" w:type="dxa"/>
              <w:bottom w:w="100" w:type="dxa"/>
              <w:right w:w="100" w:type="dxa"/>
            </w:tcMar>
          </w:tcPr>
          <w:p w:rsidR="00C96B0D" w:rsidRDefault="00C96B0D">
            <w:pPr>
              <w:widowControl w:val="0"/>
              <w:spacing w:line="240" w:lineRule="auto"/>
              <w:contextualSpacing w:val="0"/>
            </w:pPr>
          </w:p>
        </w:tc>
        <w:tc>
          <w:tcPr>
            <w:tcW w:w="1617" w:type="dxa"/>
            <w:tcMar>
              <w:top w:w="100" w:type="dxa"/>
              <w:left w:w="100" w:type="dxa"/>
              <w:bottom w:w="100" w:type="dxa"/>
              <w:right w:w="100" w:type="dxa"/>
            </w:tcMar>
          </w:tcPr>
          <w:p w:rsidR="00C96B0D" w:rsidRDefault="00C96B0D">
            <w:pPr>
              <w:widowControl w:val="0"/>
              <w:spacing w:line="240" w:lineRule="auto"/>
              <w:contextualSpacing w:val="0"/>
            </w:pPr>
          </w:p>
        </w:tc>
        <w:tc>
          <w:tcPr>
            <w:tcW w:w="1695" w:type="dxa"/>
            <w:tcMar>
              <w:top w:w="100" w:type="dxa"/>
              <w:left w:w="100" w:type="dxa"/>
              <w:bottom w:w="100" w:type="dxa"/>
              <w:right w:w="100" w:type="dxa"/>
            </w:tcMar>
          </w:tcPr>
          <w:p w:rsidR="00C96B0D" w:rsidRDefault="00C96B0D">
            <w:pPr>
              <w:widowControl w:val="0"/>
              <w:spacing w:line="240" w:lineRule="auto"/>
              <w:contextualSpacing w:val="0"/>
            </w:pPr>
          </w:p>
        </w:tc>
        <w:tc>
          <w:tcPr>
            <w:tcW w:w="2805"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p w:rsidR="00C96B0D" w:rsidRDefault="00FA095C">
      <w:r>
        <w:t>3a</w:t>
      </w:r>
      <w:proofErr w:type="gramStart"/>
      <w:r>
        <w:t>.  If</w:t>
      </w:r>
      <w:proofErr w:type="gramEnd"/>
      <w:r>
        <w:t xml:space="preserve"> someone who resides in your CCG area has a neurological condition as specified in this FOIA request, is there a single service or individual that is responsible for coordinating their care across health and social care services? (Please tick one box).</w:t>
      </w:r>
    </w:p>
    <w:p w:rsidR="00C96B0D" w:rsidRDefault="00C96B0D"/>
    <w:tbl>
      <w:tblPr>
        <w:tblStyle w:val="a1"/>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96B0D" w:rsidTr="00C96B0D">
        <w:tc>
          <w:tcPr>
            <w:tcW w:w="2257" w:type="dxa"/>
            <w:tcMar>
              <w:top w:w="100" w:type="dxa"/>
              <w:left w:w="100" w:type="dxa"/>
              <w:bottom w:w="100" w:type="dxa"/>
              <w:right w:w="100" w:type="dxa"/>
            </w:tcMar>
          </w:tcPr>
          <w:p w:rsidR="00C96B0D" w:rsidRDefault="00FA095C">
            <w:pPr>
              <w:widowControl w:val="0"/>
              <w:spacing w:line="240" w:lineRule="auto"/>
              <w:contextualSpacing w:val="0"/>
            </w:pPr>
            <w:r>
              <w:rPr>
                <w:b/>
              </w:rPr>
              <w:t>Yes - there is a specific individual or service that provides coordination</w:t>
            </w:r>
          </w:p>
        </w:tc>
        <w:tc>
          <w:tcPr>
            <w:tcW w:w="2257" w:type="dxa"/>
            <w:tcMar>
              <w:top w:w="100" w:type="dxa"/>
              <w:left w:w="100" w:type="dxa"/>
              <w:bottom w:w="100" w:type="dxa"/>
              <w:right w:w="100" w:type="dxa"/>
            </w:tcMar>
          </w:tcPr>
          <w:p w:rsidR="00C96B0D" w:rsidRDefault="00FA095C">
            <w:pPr>
              <w:widowControl w:val="0"/>
              <w:spacing w:line="240" w:lineRule="auto"/>
              <w:contextualSpacing w:val="0"/>
            </w:pPr>
            <w:r>
              <w:rPr>
                <w:b/>
              </w:rPr>
              <w:t>No - there are multiple coordination services in the CCG area, not a single one</w:t>
            </w:r>
          </w:p>
        </w:tc>
        <w:tc>
          <w:tcPr>
            <w:tcW w:w="2257" w:type="dxa"/>
            <w:tcMar>
              <w:top w:w="100" w:type="dxa"/>
              <w:left w:w="100" w:type="dxa"/>
              <w:bottom w:w="100" w:type="dxa"/>
              <w:right w:w="100" w:type="dxa"/>
            </w:tcMar>
          </w:tcPr>
          <w:p w:rsidR="00C96B0D" w:rsidRDefault="00FA095C">
            <w:pPr>
              <w:widowControl w:val="0"/>
              <w:spacing w:line="240" w:lineRule="auto"/>
              <w:contextualSpacing w:val="0"/>
            </w:pPr>
            <w:r>
              <w:rPr>
                <w:b/>
              </w:rPr>
              <w:t>No - there is no such service in the CCG area</w:t>
            </w:r>
          </w:p>
        </w:tc>
        <w:tc>
          <w:tcPr>
            <w:tcW w:w="2257" w:type="dxa"/>
            <w:tcMar>
              <w:top w:w="100" w:type="dxa"/>
              <w:left w:w="100" w:type="dxa"/>
              <w:bottom w:w="100" w:type="dxa"/>
              <w:right w:w="100" w:type="dxa"/>
            </w:tcMar>
          </w:tcPr>
          <w:p w:rsidR="00C96B0D" w:rsidRDefault="00FA095C">
            <w:pPr>
              <w:widowControl w:val="0"/>
              <w:spacing w:line="240" w:lineRule="auto"/>
              <w:contextualSpacing w:val="0"/>
            </w:pPr>
            <w:r>
              <w:rPr>
                <w:b/>
              </w:rPr>
              <w:t>Don’t know</w:t>
            </w:r>
          </w:p>
        </w:tc>
      </w:tr>
      <w:tr w:rsidR="00C96B0D" w:rsidTr="00C96B0D">
        <w:trPr>
          <w:trHeight w:val="940"/>
        </w:trPr>
        <w:tc>
          <w:tcPr>
            <w:tcW w:w="2257" w:type="dxa"/>
            <w:tcMar>
              <w:top w:w="100" w:type="dxa"/>
              <w:left w:w="100" w:type="dxa"/>
              <w:bottom w:w="100" w:type="dxa"/>
              <w:right w:w="100" w:type="dxa"/>
            </w:tcMar>
          </w:tcPr>
          <w:p w:rsidR="00C96B0D" w:rsidRDefault="00C96B0D">
            <w:pPr>
              <w:widowControl w:val="0"/>
              <w:spacing w:line="240" w:lineRule="auto"/>
              <w:contextualSpacing w:val="0"/>
            </w:pPr>
          </w:p>
        </w:tc>
        <w:tc>
          <w:tcPr>
            <w:tcW w:w="2257" w:type="dxa"/>
            <w:tcMar>
              <w:top w:w="100" w:type="dxa"/>
              <w:left w:w="100" w:type="dxa"/>
              <w:bottom w:w="100" w:type="dxa"/>
              <w:right w:w="100" w:type="dxa"/>
            </w:tcMar>
          </w:tcPr>
          <w:p w:rsidR="00C96B0D" w:rsidRDefault="00C96B0D">
            <w:pPr>
              <w:widowControl w:val="0"/>
              <w:spacing w:line="240" w:lineRule="auto"/>
              <w:contextualSpacing w:val="0"/>
            </w:pPr>
          </w:p>
        </w:tc>
        <w:tc>
          <w:tcPr>
            <w:tcW w:w="2257" w:type="dxa"/>
            <w:tcMar>
              <w:top w:w="100" w:type="dxa"/>
              <w:left w:w="100" w:type="dxa"/>
              <w:bottom w:w="100" w:type="dxa"/>
              <w:right w:w="100" w:type="dxa"/>
            </w:tcMar>
          </w:tcPr>
          <w:p w:rsidR="00C96B0D" w:rsidRDefault="008937C8">
            <w:pPr>
              <w:widowControl w:val="0"/>
              <w:spacing w:line="240" w:lineRule="auto"/>
              <w:contextualSpacing w:val="0"/>
            </w:pPr>
            <w:r w:rsidRPr="008937C8">
              <w:rPr>
                <w:color w:val="0070C0"/>
              </w:rPr>
              <w:sym w:font="Wingdings" w:char="F0FC"/>
            </w:r>
          </w:p>
        </w:tc>
        <w:tc>
          <w:tcPr>
            <w:tcW w:w="2257"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p w:rsidR="00C96B0D" w:rsidRDefault="00FA095C">
      <w:r>
        <w:t>If “Yes” please proceed to 3b.</w:t>
      </w:r>
    </w:p>
    <w:p w:rsidR="00C96B0D" w:rsidRDefault="00FA095C">
      <w:r>
        <w:t>If “No” or “Don’t know” please proceed to question 4.</w:t>
      </w:r>
    </w:p>
    <w:p w:rsidR="00C96B0D" w:rsidRDefault="00C96B0D"/>
    <w:p w:rsidR="00C96B0D" w:rsidRDefault="00FA095C">
      <w:proofErr w:type="gramStart"/>
      <w:r>
        <w:t xml:space="preserve">3b. Please tick </w:t>
      </w:r>
      <w:r>
        <w:rPr>
          <w:b/>
        </w:rPr>
        <w:t xml:space="preserve">one </w:t>
      </w:r>
      <w:r>
        <w:t>box below to show which individual service in your CCG area provides coordination of people’s care across health and social care.</w:t>
      </w:r>
      <w:proofErr w:type="gramEnd"/>
      <w:r>
        <w:t xml:space="preserve"> (If there are multiple services that provide such coordination, please tick “No - there are multiple coordination services in the CCG area, not a single one” above and then proceed to question 4.)</w:t>
      </w:r>
    </w:p>
    <w:p w:rsidR="00C96B0D" w:rsidRDefault="00C96B0D"/>
    <w:tbl>
      <w:tblPr>
        <w:tblStyle w:val="a2"/>
        <w:tblW w:w="8940"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5"/>
        <w:gridCol w:w="5145"/>
      </w:tblGrid>
      <w:tr w:rsidR="00C96B0D" w:rsidTr="00C96B0D">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Service/professional</w:t>
            </w:r>
          </w:p>
        </w:tc>
        <w:tc>
          <w:tcPr>
            <w:tcW w:w="5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Provides coordination in our CCG</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Neuroscience or neurological specialist nurse</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Neurological condition-specific </w:t>
            </w:r>
            <w:r>
              <w:lastRenderedPageBreak/>
              <w:t>specialist nurse</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lastRenderedPageBreak/>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lastRenderedPageBreak/>
              <w:t>Neurologist</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District Nurse</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GP</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A neuro navigator or navigation service </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Social worker/care manager</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Other - please specify</w:t>
            </w:r>
          </w:p>
        </w:tc>
        <w:tc>
          <w:tcPr>
            <w:tcW w:w="514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bl>
    <w:p w:rsidR="00C96B0D" w:rsidRDefault="00C96B0D"/>
    <w:p w:rsidR="00C96B0D" w:rsidRDefault="00FA095C">
      <w:r>
        <w:t>4a</w:t>
      </w:r>
      <w:proofErr w:type="gramStart"/>
      <w:r>
        <w:t>.  Does</w:t>
      </w:r>
      <w:proofErr w:type="gramEnd"/>
      <w:r>
        <w:t xml:space="preserve"> your CCG specifically commission multidisciplinary teams (MDT) to manage neurological conditions? (Please tick </w:t>
      </w:r>
      <w:r>
        <w:rPr>
          <w:b/>
        </w:rPr>
        <w:t>one</w:t>
      </w:r>
      <w:r>
        <w:t xml:space="preserve"> box)</w:t>
      </w:r>
    </w:p>
    <w:p w:rsidR="00C96B0D" w:rsidRDefault="00C96B0D"/>
    <w:tbl>
      <w:tblPr>
        <w:tblStyle w:val="a3"/>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96B0D" w:rsidTr="00C96B0D">
        <w:tc>
          <w:tcPr>
            <w:tcW w:w="4514" w:type="dxa"/>
            <w:tcMar>
              <w:top w:w="100" w:type="dxa"/>
              <w:left w:w="100" w:type="dxa"/>
              <w:bottom w:w="100" w:type="dxa"/>
              <w:right w:w="100" w:type="dxa"/>
            </w:tcMar>
          </w:tcPr>
          <w:p w:rsidR="00C96B0D" w:rsidRDefault="00FA095C">
            <w:pPr>
              <w:widowControl w:val="0"/>
              <w:spacing w:line="240" w:lineRule="auto"/>
              <w:contextualSpacing w:val="0"/>
              <w:rPr>
                <w:b/>
              </w:rPr>
            </w:pPr>
            <w:r>
              <w:rPr>
                <w:b/>
              </w:rPr>
              <w:t>Yes - our CCG specifically commissions MDTs to manage neurological conditions</w:t>
            </w:r>
          </w:p>
        </w:tc>
        <w:tc>
          <w:tcPr>
            <w:tcW w:w="4514" w:type="dxa"/>
            <w:tcMar>
              <w:top w:w="100" w:type="dxa"/>
              <w:left w:w="100" w:type="dxa"/>
              <w:bottom w:w="100" w:type="dxa"/>
              <w:right w:w="100" w:type="dxa"/>
            </w:tcMar>
          </w:tcPr>
          <w:p w:rsidR="00C96B0D" w:rsidRDefault="00FA095C">
            <w:pPr>
              <w:widowControl w:val="0"/>
              <w:spacing w:line="240" w:lineRule="auto"/>
              <w:contextualSpacing w:val="0"/>
              <w:rPr>
                <w:b/>
              </w:rPr>
            </w:pPr>
            <w:r>
              <w:rPr>
                <w:b/>
              </w:rPr>
              <w:t>No - our CCG does not specifically commission MDTs to manage neurological conditions</w:t>
            </w:r>
          </w:p>
        </w:tc>
      </w:tr>
      <w:tr w:rsidR="00C96B0D" w:rsidTr="00C96B0D">
        <w:tc>
          <w:tcPr>
            <w:tcW w:w="4514" w:type="dxa"/>
            <w:tcMar>
              <w:top w:w="100" w:type="dxa"/>
              <w:left w:w="100" w:type="dxa"/>
              <w:bottom w:w="100" w:type="dxa"/>
              <w:right w:w="100" w:type="dxa"/>
            </w:tcMar>
          </w:tcPr>
          <w:p w:rsidR="00C96B0D" w:rsidRDefault="00C96B0D">
            <w:pPr>
              <w:widowControl w:val="0"/>
              <w:spacing w:line="240" w:lineRule="auto"/>
              <w:contextualSpacing w:val="0"/>
            </w:pPr>
          </w:p>
        </w:tc>
        <w:tc>
          <w:tcPr>
            <w:tcW w:w="4514" w:type="dxa"/>
            <w:tcMar>
              <w:top w:w="100" w:type="dxa"/>
              <w:left w:w="100" w:type="dxa"/>
              <w:bottom w:w="100" w:type="dxa"/>
              <w:right w:w="100" w:type="dxa"/>
            </w:tcMar>
          </w:tcPr>
          <w:p w:rsidR="00C96B0D" w:rsidRDefault="008937C8">
            <w:pPr>
              <w:widowControl w:val="0"/>
              <w:spacing w:line="240" w:lineRule="auto"/>
              <w:contextualSpacing w:val="0"/>
            </w:pPr>
            <w:r w:rsidRPr="008937C8">
              <w:rPr>
                <w:color w:val="0070C0"/>
              </w:rPr>
              <w:sym w:font="Wingdings" w:char="F0FC"/>
            </w:r>
          </w:p>
        </w:tc>
      </w:tr>
    </w:tbl>
    <w:p w:rsidR="00C96B0D" w:rsidRDefault="00C96B0D"/>
    <w:p w:rsidR="00C96B0D" w:rsidRDefault="00FA095C">
      <w:r>
        <w:t>If yes, please go to 4b. If no, please go to question 5.</w:t>
      </w:r>
    </w:p>
    <w:p w:rsidR="00C96B0D" w:rsidRDefault="00C96B0D"/>
    <w:p w:rsidR="00C96B0D" w:rsidRDefault="00FA095C">
      <w:r>
        <w:t xml:space="preserve">4b. Please specify which neurological conditions the MDT(s) you commission work with. (Please </w:t>
      </w:r>
      <w:proofErr w:type="gramStart"/>
      <w:r>
        <w:t>tick all that apply</w:t>
      </w:r>
      <w:proofErr w:type="gramEnd"/>
      <w:r>
        <w:t>).</w:t>
      </w:r>
    </w:p>
    <w:p w:rsidR="00C96B0D" w:rsidRDefault="00C96B0D"/>
    <w:tbl>
      <w:tblPr>
        <w:tblStyle w:val="a4"/>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C96B0D" w:rsidTr="00C96B0D">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Parkinson’s disease</w:t>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Multiple sclerosis (MS)</w:t>
            </w:r>
            <w:r>
              <w:rPr>
                <w:b/>
              </w:rPr>
              <w:tab/>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Motor neurone disease (MND)</w:t>
            </w:r>
            <w:r>
              <w:rPr>
                <w:b/>
              </w:rPr>
              <w:tab/>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Huntington’s disease</w:t>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Acquired traumatic brain injury</w:t>
            </w:r>
            <w:r>
              <w:rPr>
                <w:b/>
              </w:rPr>
              <w:tab/>
            </w:r>
          </w:p>
        </w:tc>
      </w:tr>
      <w:tr w:rsidR="00C96B0D" w:rsidTr="00C96B0D">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We commission an MDT that works with individuals with this condition</w:t>
            </w: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p w:rsidR="00C96B0D" w:rsidRDefault="00FA095C">
      <w:r>
        <w:t>Please go to 4c.</w:t>
      </w:r>
    </w:p>
    <w:p w:rsidR="00C96B0D" w:rsidRDefault="00C96B0D">
      <w:pPr>
        <w:ind w:left="720"/>
      </w:pPr>
    </w:p>
    <w:p w:rsidR="00C96B0D" w:rsidRDefault="00FA095C">
      <w:r>
        <w:t xml:space="preserve">4c </w:t>
      </w:r>
      <w:proofErr w:type="gramStart"/>
      <w:r>
        <w:t>Which</w:t>
      </w:r>
      <w:proofErr w:type="gramEnd"/>
      <w:r>
        <w:t xml:space="preserve"> professionals are included in MDTs in your area? (Please </w:t>
      </w:r>
      <w:proofErr w:type="gramStart"/>
      <w:r>
        <w:t>tick all that apply</w:t>
      </w:r>
      <w:proofErr w:type="gramEnd"/>
      <w:r>
        <w:t>). (If you have different groups of professionals included in different MDTs in your CCG, please tick for any professionals that are included in any MDTs in your area.)</w:t>
      </w:r>
    </w:p>
    <w:p w:rsidR="00C96B0D" w:rsidRDefault="00C96B0D"/>
    <w:tbl>
      <w:tblPr>
        <w:tblStyle w:val="a5"/>
        <w:tblW w:w="922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0"/>
        <w:gridCol w:w="5025"/>
      </w:tblGrid>
      <w:tr w:rsidR="00C96B0D" w:rsidTr="00C96B0D">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lastRenderedPageBreak/>
              <w:t>Service/professional</w:t>
            </w:r>
          </w:p>
        </w:tc>
        <w:tc>
          <w:tcPr>
            <w:tcW w:w="5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Included in MDTs in our CCG area</w:t>
            </w: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Neurologist</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Dietitian</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Respiratory physiologist or a healthcare professional who can assess respiratory function</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Physiotherapist</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Occupational therapy</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Specialist nurse (neuroscience or neurology specialist nurse or specialist nurse for specific neurological condition)</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Speech and language therapist (SALT)</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Psychological support</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Psychiatric support</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r w:rsidR="00C96B0D" w:rsidTr="00C96B0D">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Other - please specify</w:t>
            </w:r>
          </w:p>
        </w:tc>
        <w:tc>
          <w:tcPr>
            <w:tcW w:w="5025"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bl>
    <w:p w:rsidR="00C96B0D" w:rsidRDefault="00C96B0D"/>
    <w:p w:rsidR="00C96B0D" w:rsidRDefault="00FA095C">
      <w:r>
        <w:t>5. How many residents with one of the neurological conditions specified in this FOIA request in your CCG area are in an older people’s nursing or care home (i.e., not a specialist residential neurological centre for people as defined in question 2) broken down by age group, as of 2nd January 2017?  If it is not possible to provide figures for this date, please use the most recent date known and state what this date is.</w:t>
      </w:r>
    </w:p>
    <w:p w:rsidR="00C96B0D" w:rsidRDefault="00C96B0D"/>
    <w:tbl>
      <w:tblPr>
        <w:tblStyle w:val="a6"/>
        <w:tblW w:w="9028"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3690"/>
        <w:gridCol w:w="2533"/>
      </w:tblGrid>
      <w:tr w:rsidR="00C96B0D" w:rsidTr="00C96B0D">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Age of person with neurological condition</w:t>
            </w:r>
          </w:p>
        </w:tc>
        <w:tc>
          <w:tcPr>
            <w:tcW w:w="36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Number of people with neurological conditions in older people’s nursing or care homes</w:t>
            </w:r>
          </w:p>
        </w:tc>
        <w:tc>
          <w:tcPr>
            <w:tcW w:w="25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rPr>
                <w:b/>
              </w:rPr>
              <w:t>Date to which this data applies</w:t>
            </w: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0 – 17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18 - 24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25 - 34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35 - 44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45 - 54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55 - 64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65 – 74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t>75 – 84 years</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Mar>
              <w:top w:w="100" w:type="dxa"/>
              <w:left w:w="100" w:type="dxa"/>
              <w:bottom w:w="100" w:type="dxa"/>
              <w:right w:w="100" w:type="dxa"/>
            </w:tcMar>
          </w:tcPr>
          <w:p w:rsidR="00C96B0D" w:rsidRDefault="00FA095C">
            <w:pPr>
              <w:widowControl w:val="0"/>
              <w:spacing w:line="240" w:lineRule="auto"/>
              <w:contextualSpacing w:val="0"/>
            </w:pPr>
            <w:r>
              <w:lastRenderedPageBreak/>
              <w:t>85 years +</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C96B0D">
            <w:pPr>
              <w:ind w:left="-100"/>
              <w:contextualSpacing w:val="0"/>
            </w:pPr>
          </w:p>
        </w:tc>
      </w:tr>
      <w:tr w:rsidR="00C96B0D" w:rsidTr="00C96B0D">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Total</w:t>
            </w:r>
          </w:p>
        </w:tc>
        <w:tc>
          <w:tcPr>
            <w:tcW w:w="3690"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c>
          <w:tcPr>
            <w:tcW w:w="2533" w:type="dxa"/>
            <w:tcBorders>
              <w:bottom w:val="single" w:sz="8" w:space="0" w:color="000000"/>
              <w:right w:val="single" w:sz="8" w:space="0" w:color="000000"/>
            </w:tcBorders>
            <w:tcMar>
              <w:top w:w="100" w:type="dxa"/>
              <w:left w:w="100" w:type="dxa"/>
              <w:bottom w:w="100" w:type="dxa"/>
              <w:right w:w="100" w:type="dxa"/>
            </w:tcMar>
          </w:tcPr>
          <w:p w:rsidR="00C96B0D" w:rsidRDefault="00FA095C">
            <w:pPr>
              <w:ind w:left="-100"/>
              <w:contextualSpacing w:val="0"/>
            </w:pPr>
            <w:r>
              <w:t xml:space="preserve"> </w:t>
            </w:r>
          </w:p>
        </w:tc>
      </w:tr>
    </w:tbl>
    <w:p w:rsidR="00C96B0D" w:rsidRDefault="00C96B0D"/>
    <w:p w:rsidR="00C96B0D" w:rsidRDefault="008937C8" w:rsidP="003501C3">
      <w:pPr>
        <w:ind w:left="-284"/>
        <w:rPr>
          <w:color w:val="0070C0"/>
        </w:rPr>
      </w:pPr>
      <w:r w:rsidRPr="008937C8">
        <w:rPr>
          <w:color w:val="0070C0"/>
        </w:rPr>
        <w:t xml:space="preserve">NHS South Sefton CCG does not hold this data, please refer to NHS England </w:t>
      </w:r>
    </w:p>
    <w:p w:rsidR="003501C3" w:rsidRDefault="003501C3" w:rsidP="003501C3">
      <w:pPr>
        <w:spacing w:line="240" w:lineRule="auto"/>
        <w:ind w:left="-284"/>
        <w:rPr>
          <w:rFonts w:eastAsia="Times New Roman"/>
          <w:color w:val="auto"/>
        </w:rPr>
      </w:pPr>
    </w:p>
    <w:p w:rsidR="003501C3" w:rsidRPr="003501C3" w:rsidRDefault="003501C3" w:rsidP="003501C3">
      <w:pPr>
        <w:spacing w:line="240" w:lineRule="auto"/>
        <w:ind w:left="-284"/>
        <w:rPr>
          <w:rFonts w:eastAsia="Times New Roman"/>
          <w:color w:val="0070C0"/>
        </w:rPr>
      </w:pPr>
      <w:r w:rsidRPr="003501C3">
        <w:rPr>
          <w:rFonts w:eastAsia="Times New Roman"/>
          <w:color w:val="0070C0"/>
        </w:rPr>
        <w:t>NHS England.</w:t>
      </w:r>
    </w:p>
    <w:p w:rsidR="003501C3" w:rsidRPr="003501C3" w:rsidRDefault="00BF0E9D" w:rsidP="003501C3">
      <w:pPr>
        <w:spacing w:line="240" w:lineRule="auto"/>
        <w:ind w:left="-284"/>
        <w:rPr>
          <w:rFonts w:eastAsia="Times New Roman"/>
          <w:color w:val="0070C0"/>
        </w:rPr>
      </w:pPr>
      <w:hyperlink r:id="rId8" w:history="1">
        <w:r w:rsidR="003501C3" w:rsidRPr="003501C3">
          <w:rPr>
            <w:rFonts w:eastAsia="Times New Roman"/>
            <w:color w:val="0070C0"/>
          </w:rPr>
          <w:t>england.contactus@nhs.net</w:t>
        </w:r>
      </w:hyperlink>
    </w:p>
    <w:p w:rsidR="003501C3" w:rsidRPr="008937C8" w:rsidRDefault="003501C3">
      <w:pPr>
        <w:rPr>
          <w:color w:val="0070C0"/>
        </w:rPr>
      </w:pPr>
    </w:p>
    <w:p w:rsidR="008937C8" w:rsidRDefault="008937C8"/>
    <w:p w:rsidR="00C96B0D" w:rsidRDefault="00FA095C">
      <w:r>
        <w:t>6. As of 2nd January 2017, how many individuals with a neurological condition as specified by this FOIA request from your CCG were you paying for to be placed in a residential setting in an “out of area placement” in a non-neighbouring CCG? (I.e. a CCG that is not your own and is also not an adjacent CCG to your own.)</w:t>
      </w:r>
    </w:p>
    <w:p w:rsidR="00C96B0D" w:rsidRDefault="00C96B0D"/>
    <w:tbl>
      <w:tblPr>
        <w:tblStyle w:val="a7"/>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C96B0D" w:rsidTr="00C96B0D">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Parkinson’s disease</w:t>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Multiple sclerosis (MS)</w:t>
            </w:r>
            <w:r>
              <w:rPr>
                <w:b/>
              </w:rPr>
              <w:tab/>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Motor neurone disease (MND)</w:t>
            </w:r>
            <w:r>
              <w:rPr>
                <w:b/>
              </w:rPr>
              <w:tab/>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Huntington’s disease</w:t>
            </w:r>
          </w:p>
        </w:tc>
        <w:tc>
          <w:tcPr>
            <w:tcW w:w="1504" w:type="dxa"/>
            <w:tcMar>
              <w:top w:w="100" w:type="dxa"/>
              <w:left w:w="100" w:type="dxa"/>
              <w:bottom w:w="100" w:type="dxa"/>
              <w:right w:w="100" w:type="dxa"/>
            </w:tcMar>
          </w:tcPr>
          <w:p w:rsidR="00C96B0D" w:rsidRDefault="00FA095C">
            <w:pPr>
              <w:widowControl w:val="0"/>
              <w:spacing w:line="240" w:lineRule="auto"/>
              <w:contextualSpacing w:val="0"/>
            </w:pPr>
            <w:r>
              <w:rPr>
                <w:b/>
              </w:rPr>
              <w:t>Acquired traumatic brain Injury</w:t>
            </w:r>
            <w:r>
              <w:rPr>
                <w:b/>
              </w:rPr>
              <w:tab/>
            </w:r>
          </w:p>
        </w:tc>
      </w:tr>
      <w:tr w:rsidR="00C96B0D" w:rsidTr="00C96B0D">
        <w:tc>
          <w:tcPr>
            <w:tcW w:w="1504" w:type="dxa"/>
            <w:tcMar>
              <w:top w:w="100" w:type="dxa"/>
              <w:left w:w="100" w:type="dxa"/>
              <w:bottom w:w="100" w:type="dxa"/>
              <w:right w:w="100" w:type="dxa"/>
            </w:tcMar>
          </w:tcPr>
          <w:p w:rsidR="00C96B0D" w:rsidRDefault="00FA095C">
            <w:pPr>
              <w:widowControl w:val="0"/>
              <w:spacing w:line="240" w:lineRule="auto"/>
              <w:contextualSpacing w:val="0"/>
            </w:pPr>
            <w:r>
              <w:t>Number currently placed in a residential setting in an ‘out of area placement’ in a non-neighbouring CCG</w:t>
            </w: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4"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pPr>
        <w:ind w:left="720"/>
      </w:pPr>
    </w:p>
    <w:p w:rsidR="003501C3" w:rsidRPr="003501C3" w:rsidRDefault="003501C3" w:rsidP="008809D9">
      <w:pPr>
        <w:ind w:hanging="284"/>
        <w:rPr>
          <w:color w:val="0070C0"/>
        </w:rPr>
      </w:pPr>
      <w:r w:rsidRPr="003501C3">
        <w:rPr>
          <w:color w:val="0070C0"/>
        </w:rPr>
        <w:t>NHS South Sefton CCG does not hold this information.</w:t>
      </w:r>
    </w:p>
    <w:p w:rsidR="003501C3" w:rsidRDefault="003501C3">
      <w:pPr>
        <w:ind w:left="720"/>
      </w:pPr>
    </w:p>
    <w:p w:rsidR="00C96B0D" w:rsidRDefault="00FA095C">
      <w:r>
        <w:t>7. As of 2nd January 2017, how many people with one of the neurological conditions specified in this FOIA request in your CCG area are supported by a personal health budget?</w:t>
      </w:r>
    </w:p>
    <w:p w:rsidR="00C96B0D" w:rsidRDefault="00C96B0D"/>
    <w:tbl>
      <w:tblPr>
        <w:tblStyle w:val="a8"/>
        <w:tblW w:w="902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C96B0D" w:rsidTr="003501C3">
        <w:tc>
          <w:tcPr>
            <w:tcW w:w="1504" w:type="dxa"/>
            <w:tcMar>
              <w:top w:w="100" w:type="dxa"/>
              <w:left w:w="100" w:type="dxa"/>
              <w:bottom w:w="100" w:type="dxa"/>
              <w:right w:w="100" w:type="dxa"/>
            </w:tcMar>
          </w:tcPr>
          <w:p w:rsidR="00C96B0D" w:rsidRDefault="00C96B0D">
            <w:pPr>
              <w:widowControl w:val="0"/>
              <w:spacing w:line="240" w:lineRule="auto"/>
              <w:contextualSpacing w:val="0"/>
            </w:pPr>
          </w:p>
        </w:tc>
        <w:tc>
          <w:tcPr>
            <w:tcW w:w="1505" w:type="dxa"/>
            <w:tcMar>
              <w:top w:w="100" w:type="dxa"/>
              <w:left w:w="100" w:type="dxa"/>
              <w:bottom w:w="100" w:type="dxa"/>
              <w:right w:w="100" w:type="dxa"/>
            </w:tcMar>
          </w:tcPr>
          <w:p w:rsidR="00C96B0D" w:rsidRDefault="00FA095C">
            <w:pPr>
              <w:widowControl w:val="0"/>
              <w:spacing w:line="240" w:lineRule="auto"/>
              <w:contextualSpacing w:val="0"/>
            </w:pPr>
            <w:r>
              <w:rPr>
                <w:b/>
              </w:rPr>
              <w:t>Parkinson’s disease</w:t>
            </w:r>
          </w:p>
        </w:tc>
        <w:tc>
          <w:tcPr>
            <w:tcW w:w="1505" w:type="dxa"/>
            <w:tcMar>
              <w:top w:w="100" w:type="dxa"/>
              <w:left w:w="100" w:type="dxa"/>
              <w:bottom w:w="100" w:type="dxa"/>
              <w:right w:w="100" w:type="dxa"/>
            </w:tcMar>
          </w:tcPr>
          <w:p w:rsidR="00C96B0D" w:rsidRDefault="00FA095C">
            <w:pPr>
              <w:widowControl w:val="0"/>
              <w:spacing w:line="240" w:lineRule="auto"/>
              <w:contextualSpacing w:val="0"/>
            </w:pPr>
            <w:r>
              <w:rPr>
                <w:b/>
              </w:rPr>
              <w:t>Multiple sclerosis (MS)</w:t>
            </w:r>
            <w:r>
              <w:rPr>
                <w:b/>
              </w:rPr>
              <w:tab/>
            </w:r>
          </w:p>
        </w:tc>
        <w:tc>
          <w:tcPr>
            <w:tcW w:w="1505" w:type="dxa"/>
            <w:tcMar>
              <w:top w:w="100" w:type="dxa"/>
              <w:left w:w="100" w:type="dxa"/>
              <w:bottom w:w="100" w:type="dxa"/>
              <w:right w:w="100" w:type="dxa"/>
            </w:tcMar>
          </w:tcPr>
          <w:p w:rsidR="00C96B0D" w:rsidRDefault="00FA095C">
            <w:pPr>
              <w:widowControl w:val="0"/>
              <w:spacing w:line="240" w:lineRule="auto"/>
              <w:contextualSpacing w:val="0"/>
            </w:pPr>
            <w:r>
              <w:rPr>
                <w:b/>
              </w:rPr>
              <w:t>Motor neurone disease (MND)</w:t>
            </w:r>
            <w:r>
              <w:rPr>
                <w:b/>
              </w:rPr>
              <w:tab/>
            </w:r>
          </w:p>
        </w:tc>
        <w:tc>
          <w:tcPr>
            <w:tcW w:w="1505" w:type="dxa"/>
            <w:tcMar>
              <w:top w:w="100" w:type="dxa"/>
              <w:left w:w="100" w:type="dxa"/>
              <w:bottom w:w="100" w:type="dxa"/>
              <w:right w:w="100" w:type="dxa"/>
            </w:tcMar>
          </w:tcPr>
          <w:p w:rsidR="00C96B0D" w:rsidRDefault="00FA095C">
            <w:pPr>
              <w:widowControl w:val="0"/>
              <w:spacing w:line="240" w:lineRule="auto"/>
              <w:contextualSpacing w:val="0"/>
            </w:pPr>
            <w:r>
              <w:rPr>
                <w:b/>
              </w:rPr>
              <w:t>Huntington’s disease</w:t>
            </w:r>
          </w:p>
        </w:tc>
        <w:tc>
          <w:tcPr>
            <w:tcW w:w="1505" w:type="dxa"/>
            <w:tcMar>
              <w:top w:w="100" w:type="dxa"/>
              <w:left w:w="100" w:type="dxa"/>
              <w:bottom w:w="100" w:type="dxa"/>
              <w:right w:w="100" w:type="dxa"/>
            </w:tcMar>
          </w:tcPr>
          <w:p w:rsidR="00C96B0D" w:rsidRDefault="00FA095C">
            <w:pPr>
              <w:widowControl w:val="0"/>
              <w:spacing w:line="240" w:lineRule="auto"/>
              <w:contextualSpacing w:val="0"/>
            </w:pPr>
            <w:r>
              <w:rPr>
                <w:b/>
              </w:rPr>
              <w:t>Acquired traumatic brain Injury</w:t>
            </w:r>
            <w:r>
              <w:rPr>
                <w:b/>
              </w:rPr>
              <w:tab/>
            </w:r>
          </w:p>
        </w:tc>
      </w:tr>
      <w:tr w:rsidR="00C96B0D" w:rsidTr="003501C3">
        <w:tc>
          <w:tcPr>
            <w:tcW w:w="1504" w:type="dxa"/>
            <w:tcMar>
              <w:top w:w="100" w:type="dxa"/>
              <w:left w:w="100" w:type="dxa"/>
              <w:bottom w:w="100" w:type="dxa"/>
              <w:right w:w="100" w:type="dxa"/>
            </w:tcMar>
          </w:tcPr>
          <w:p w:rsidR="00C96B0D" w:rsidRDefault="00FA095C">
            <w:pPr>
              <w:widowControl w:val="0"/>
              <w:spacing w:line="240" w:lineRule="auto"/>
              <w:contextualSpacing w:val="0"/>
            </w:pPr>
            <w:r>
              <w:t>Number being supported on a personal health budget</w:t>
            </w:r>
          </w:p>
        </w:tc>
        <w:tc>
          <w:tcPr>
            <w:tcW w:w="1505" w:type="dxa"/>
            <w:tcMar>
              <w:top w:w="100" w:type="dxa"/>
              <w:left w:w="100" w:type="dxa"/>
              <w:bottom w:w="100" w:type="dxa"/>
              <w:right w:w="100" w:type="dxa"/>
            </w:tcMar>
          </w:tcPr>
          <w:p w:rsidR="00C96B0D" w:rsidRPr="008809D9" w:rsidRDefault="003501C3">
            <w:pPr>
              <w:widowControl w:val="0"/>
              <w:spacing w:line="240" w:lineRule="auto"/>
              <w:contextualSpacing w:val="0"/>
              <w:rPr>
                <w:color w:val="0070C0"/>
              </w:rPr>
            </w:pPr>
            <w:r w:rsidRPr="008809D9">
              <w:rPr>
                <w:color w:val="0070C0"/>
              </w:rPr>
              <w:t>0</w:t>
            </w:r>
          </w:p>
        </w:tc>
        <w:tc>
          <w:tcPr>
            <w:tcW w:w="1505" w:type="dxa"/>
            <w:tcMar>
              <w:top w:w="100" w:type="dxa"/>
              <w:left w:w="100" w:type="dxa"/>
              <w:bottom w:w="100" w:type="dxa"/>
              <w:right w:w="100" w:type="dxa"/>
            </w:tcMar>
          </w:tcPr>
          <w:p w:rsidR="00C96B0D" w:rsidRPr="008809D9" w:rsidRDefault="003501C3">
            <w:pPr>
              <w:widowControl w:val="0"/>
              <w:spacing w:line="240" w:lineRule="auto"/>
              <w:contextualSpacing w:val="0"/>
              <w:rPr>
                <w:color w:val="0070C0"/>
              </w:rPr>
            </w:pPr>
            <w:r w:rsidRPr="008809D9">
              <w:rPr>
                <w:color w:val="0070C0"/>
              </w:rPr>
              <w:t>0</w:t>
            </w:r>
          </w:p>
        </w:tc>
        <w:tc>
          <w:tcPr>
            <w:tcW w:w="1505" w:type="dxa"/>
            <w:tcMar>
              <w:top w:w="100" w:type="dxa"/>
              <w:left w:w="100" w:type="dxa"/>
              <w:bottom w:w="100" w:type="dxa"/>
              <w:right w:w="100" w:type="dxa"/>
            </w:tcMar>
          </w:tcPr>
          <w:p w:rsidR="00C96B0D" w:rsidRPr="008809D9" w:rsidRDefault="003501C3">
            <w:pPr>
              <w:widowControl w:val="0"/>
              <w:spacing w:line="240" w:lineRule="auto"/>
              <w:contextualSpacing w:val="0"/>
              <w:rPr>
                <w:color w:val="0070C0"/>
              </w:rPr>
            </w:pPr>
            <w:r w:rsidRPr="008809D9">
              <w:rPr>
                <w:color w:val="0070C0"/>
              </w:rPr>
              <w:t>0</w:t>
            </w:r>
          </w:p>
        </w:tc>
        <w:tc>
          <w:tcPr>
            <w:tcW w:w="1505" w:type="dxa"/>
            <w:tcMar>
              <w:top w:w="100" w:type="dxa"/>
              <w:left w:w="100" w:type="dxa"/>
              <w:bottom w:w="100" w:type="dxa"/>
              <w:right w:w="100" w:type="dxa"/>
            </w:tcMar>
          </w:tcPr>
          <w:p w:rsidR="00C96B0D" w:rsidRPr="008809D9" w:rsidRDefault="003501C3">
            <w:pPr>
              <w:widowControl w:val="0"/>
              <w:spacing w:line="240" w:lineRule="auto"/>
              <w:contextualSpacing w:val="0"/>
              <w:rPr>
                <w:color w:val="0070C0"/>
              </w:rPr>
            </w:pPr>
            <w:r w:rsidRPr="008809D9">
              <w:rPr>
                <w:color w:val="0070C0"/>
              </w:rPr>
              <w:t>0</w:t>
            </w:r>
          </w:p>
        </w:tc>
        <w:tc>
          <w:tcPr>
            <w:tcW w:w="1505" w:type="dxa"/>
            <w:tcMar>
              <w:top w:w="100" w:type="dxa"/>
              <w:left w:w="100" w:type="dxa"/>
              <w:bottom w:w="100" w:type="dxa"/>
              <w:right w:w="100" w:type="dxa"/>
            </w:tcMar>
          </w:tcPr>
          <w:p w:rsidR="00C96B0D" w:rsidRPr="008809D9" w:rsidRDefault="003501C3">
            <w:pPr>
              <w:widowControl w:val="0"/>
              <w:spacing w:line="240" w:lineRule="auto"/>
              <w:contextualSpacing w:val="0"/>
              <w:rPr>
                <w:color w:val="0070C0"/>
              </w:rPr>
            </w:pPr>
            <w:r w:rsidRPr="008809D9">
              <w:rPr>
                <w:color w:val="0070C0"/>
              </w:rPr>
              <w:t>0</w:t>
            </w:r>
          </w:p>
        </w:tc>
      </w:tr>
    </w:tbl>
    <w:p w:rsidR="00C96B0D" w:rsidRDefault="00C96B0D">
      <w:pPr>
        <w:ind w:left="720"/>
      </w:pPr>
    </w:p>
    <w:p w:rsidR="00C96B0D" w:rsidRDefault="00C96B0D"/>
    <w:p w:rsidR="00C96B0D" w:rsidRDefault="00FA095C">
      <w:r>
        <w:lastRenderedPageBreak/>
        <w:t>8. Do you have a local outcome framework for any of the following neurological conditions? (Please tick all that apply)</w:t>
      </w:r>
    </w:p>
    <w:p w:rsidR="00C96B0D" w:rsidRDefault="00C96B0D"/>
    <w:tbl>
      <w:tblPr>
        <w:tblStyle w:val="a9"/>
        <w:tblW w:w="922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7"/>
        <w:gridCol w:w="1318"/>
        <w:gridCol w:w="1318"/>
        <w:gridCol w:w="1318"/>
        <w:gridCol w:w="1318"/>
        <w:gridCol w:w="1318"/>
        <w:gridCol w:w="1318"/>
      </w:tblGrid>
      <w:tr w:rsidR="00C96B0D" w:rsidTr="00C96B0D">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Parkinson’s disease</w:t>
            </w:r>
          </w:p>
        </w:tc>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Multiple sclerosis (MS)</w:t>
            </w:r>
            <w:r>
              <w:rPr>
                <w:b/>
              </w:rPr>
              <w:tab/>
            </w:r>
          </w:p>
        </w:tc>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Motor neurone disease (MND)</w:t>
            </w:r>
            <w:r>
              <w:rPr>
                <w:b/>
              </w:rPr>
              <w:tab/>
            </w:r>
          </w:p>
        </w:tc>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Huntington’s disease</w:t>
            </w:r>
          </w:p>
        </w:tc>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Acquired traumatic brain Injury</w:t>
            </w:r>
            <w:r>
              <w:rPr>
                <w:b/>
              </w:rPr>
              <w:tab/>
            </w:r>
          </w:p>
        </w:tc>
        <w:tc>
          <w:tcPr>
            <w:tcW w:w="1317" w:type="dxa"/>
            <w:tcMar>
              <w:top w:w="100" w:type="dxa"/>
              <w:left w:w="100" w:type="dxa"/>
              <w:bottom w:w="100" w:type="dxa"/>
              <w:right w:w="100" w:type="dxa"/>
            </w:tcMar>
          </w:tcPr>
          <w:p w:rsidR="00C96B0D" w:rsidRDefault="00FA095C">
            <w:pPr>
              <w:widowControl w:val="0"/>
              <w:spacing w:line="240" w:lineRule="auto"/>
              <w:contextualSpacing w:val="0"/>
            </w:pPr>
            <w:r>
              <w:rPr>
                <w:b/>
              </w:rPr>
              <w:t>We have a local outcome framework that covers neurological conditions in general</w:t>
            </w:r>
          </w:p>
        </w:tc>
        <w:tc>
          <w:tcPr>
            <w:tcW w:w="1317" w:type="dxa"/>
            <w:tcMar>
              <w:top w:w="100" w:type="dxa"/>
              <w:left w:w="100" w:type="dxa"/>
              <w:bottom w:w="100" w:type="dxa"/>
              <w:right w:w="100" w:type="dxa"/>
            </w:tcMar>
          </w:tcPr>
          <w:p w:rsidR="00C96B0D" w:rsidRDefault="00FA095C">
            <w:pPr>
              <w:widowControl w:val="0"/>
              <w:spacing w:line="240" w:lineRule="auto"/>
              <w:contextualSpacing w:val="0"/>
              <w:rPr>
                <w:b/>
              </w:rPr>
            </w:pPr>
            <w:r>
              <w:rPr>
                <w:b/>
              </w:rPr>
              <w:t>We do not have a local outcome framework for any of the listed neurological conditions</w:t>
            </w:r>
          </w:p>
        </w:tc>
      </w:tr>
      <w:tr w:rsidR="00C96B0D" w:rsidTr="00C96B0D">
        <w:trPr>
          <w:trHeight w:val="1480"/>
        </w:trPr>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C96B0D">
            <w:pPr>
              <w:widowControl w:val="0"/>
              <w:spacing w:line="240" w:lineRule="auto"/>
              <w:contextualSpacing w:val="0"/>
            </w:pPr>
          </w:p>
        </w:tc>
        <w:tc>
          <w:tcPr>
            <w:tcW w:w="1317" w:type="dxa"/>
            <w:tcMar>
              <w:top w:w="100" w:type="dxa"/>
              <w:left w:w="100" w:type="dxa"/>
              <w:bottom w:w="100" w:type="dxa"/>
              <w:right w:w="100" w:type="dxa"/>
            </w:tcMar>
          </w:tcPr>
          <w:p w:rsidR="00C96B0D" w:rsidRDefault="008937C8">
            <w:pPr>
              <w:widowControl w:val="0"/>
              <w:spacing w:line="240" w:lineRule="auto"/>
              <w:contextualSpacing w:val="0"/>
            </w:pPr>
            <w:r w:rsidRPr="008937C8">
              <w:rPr>
                <w:color w:val="0070C0"/>
              </w:rPr>
              <w:sym w:font="Wingdings" w:char="F0FC"/>
            </w:r>
          </w:p>
        </w:tc>
      </w:tr>
    </w:tbl>
    <w:p w:rsidR="00C96B0D" w:rsidRDefault="00C96B0D"/>
    <w:p w:rsidR="00C96B0D" w:rsidRDefault="00C96B0D"/>
    <w:p w:rsidR="00C96B0D" w:rsidRDefault="00FA095C">
      <w:r>
        <w:t>Any additional comments</w:t>
      </w:r>
    </w:p>
    <w:p w:rsidR="00C96B0D" w:rsidRDefault="00C96B0D"/>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96B0D" w:rsidTr="00C96B0D">
        <w:trPr>
          <w:trHeight w:val="3600"/>
        </w:trPr>
        <w:tc>
          <w:tcPr>
            <w:tcW w:w="9029" w:type="dxa"/>
            <w:tcMar>
              <w:top w:w="100" w:type="dxa"/>
              <w:left w:w="100" w:type="dxa"/>
              <w:bottom w:w="100" w:type="dxa"/>
              <w:right w:w="100" w:type="dxa"/>
            </w:tcMar>
          </w:tcPr>
          <w:p w:rsidR="00C96B0D" w:rsidRDefault="00C96B0D">
            <w:pPr>
              <w:widowControl w:val="0"/>
              <w:spacing w:line="240" w:lineRule="auto"/>
              <w:contextualSpacing w:val="0"/>
            </w:pPr>
          </w:p>
        </w:tc>
      </w:tr>
    </w:tbl>
    <w:p w:rsidR="00C96B0D" w:rsidRDefault="00C96B0D"/>
    <w:sectPr w:rsidR="00C96B0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5C" w:rsidRDefault="00FA095C">
      <w:pPr>
        <w:spacing w:line="240" w:lineRule="auto"/>
      </w:pPr>
      <w:r>
        <w:separator/>
      </w:r>
    </w:p>
  </w:endnote>
  <w:endnote w:type="continuationSeparator" w:id="0">
    <w:p w:rsidR="00FA095C" w:rsidRDefault="00FA0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5C" w:rsidRDefault="00FA095C">
      <w:pPr>
        <w:spacing w:line="240" w:lineRule="auto"/>
      </w:pPr>
      <w:r>
        <w:separator/>
      </w:r>
    </w:p>
  </w:footnote>
  <w:footnote w:type="continuationSeparator" w:id="0">
    <w:p w:rsidR="00FA095C" w:rsidRDefault="00FA095C">
      <w:pPr>
        <w:spacing w:line="240" w:lineRule="auto"/>
      </w:pPr>
      <w:r>
        <w:continuationSeparator/>
      </w:r>
    </w:p>
  </w:footnote>
  <w:footnote w:id="1">
    <w:p w:rsidR="00C96B0D" w:rsidRDefault="00FA095C">
      <w:pPr>
        <w:spacing w:line="240" w:lineRule="auto"/>
      </w:pPr>
      <w:r>
        <w:rPr>
          <w:vertAlign w:val="superscript"/>
        </w:rPr>
        <w:footnoteRef/>
      </w:r>
      <w:r>
        <w:rPr>
          <w:sz w:val="20"/>
          <w:szCs w:val="20"/>
        </w:rPr>
        <w:t xml:space="preserve"> A specialist residential neurological centre provides specialised care and rehabilitation exclusively for people with neurological conditions; is likely to have a physiotherapist and/or members of a multi-disciplinary team on site, or otherwise contracted in; may have the ability to cater for those with challenging behaviours; is registered as a care home or care home with nursing; has service users that are often long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6B0D"/>
    <w:rsid w:val="000565AC"/>
    <w:rsid w:val="000B24E1"/>
    <w:rsid w:val="003501C3"/>
    <w:rsid w:val="008809D9"/>
    <w:rsid w:val="008937C8"/>
    <w:rsid w:val="00BF0E9D"/>
    <w:rsid w:val="00C96B0D"/>
    <w:rsid w:val="00FA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mailto:england.contactus@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Loughlin</dc:creator>
  <cp:lastModifiedBy>Cathy Loughlin</cp:lastModifiedBy>
  <cp:revision>6</cp:revision>
  <dcterms:created xsi:type="dcterms:W3CDTF">2017-04-11T10:08:00Z</dcterms:created>
  <dcterms:modified xsi:type="dcterms:W3CDTF">2017-04-12T13:16:00Z</dcterms:modified>
</cp:coreProperties>
</file>