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BF" w:rsidRPr="00045ACF" w:rsidRDefault="00D678BF" w:rsidP="00D678BF">
      <w:pPr>
        <w:jc w:val="center"/>
        <w:rPr>
          <w:u w:val="single"/>
        </w:rPr>
      </w:pPr>
      <w:r w:rsidRPr="00045ACF">
        <w:rPr>
          <w:u w:val="single"/>
        </w:rPr>
        <w:t>CCG Agency Spend FOI Request</w:t>
      </w:r>
    </w:p>
    <w:p w:rsidR="00270AFE" w:rsidRDefault="00361B53" w:rsidP="00361B53">
      <w:r>
        <w:t>1. Please provide the following information on agency (non-contract) staff spending and the number of agency workers</w:t>
      </w:r>
      <w:r w:rsidR="00F84F42">
        <w:t xml:space="preserve"> (FTE)</w:t>
      </w:r>
      <w:r>
        <w:t xml:space="preserve"> for 16/17 and 17/18, split by clinical and non-clinical.</w:t>
      </w:r>
    </w:p>
    <w:tbl>
      <w:tblPr>
        <w:tblStyle w:val="TableGrid"/>
        <w:tblpPr w:leftFromText="180" w:rightFromText="180" w:vertAnchor="text" w:tblpY="1"/>
        <w:tblOverlap w:val="never"/>
        <w:tblW w:w="6483" w:type="dxa"/>
        <w:tblLook w:val="04A0" w:firstRow="1" w:lastRow="0" w:firstColumn="1" w:lastColumn="0" w:noHBand="0" w:noVBand="1"/>
      </w:tblPr>
      <w:tblGrid>
        <w:gridCol w:w="1270"/>
        <w:gridCol w:w="1689"/>
        <w:gridCol w:w="1668"/>
        <w:gridCol w:w="1856"/>
      </w:tblGrid>
      <w:tr w:rsidR="00361B53" w:rsidTr="00B66191">
        <w:trPr>
          <w:trHeight w:val="558"/>
        </w:trPr>
        <w:tc>
          <w:tcPr>
            <w:tcW w:w="1270" w:type="dxa"/>
            <w:shd w:val="clear" w:color="auto" w:fill="AEAAAA" w:themeFill="background2" w:themeFillShade="BF"/>
          </w:tcPr>
          <w:p w:rsidR="00361B53" w:rsidRDefault="00361B53" w:rsidP="00B66191"/>
        </w:tc>
        <w:tc>
          <w:tcPr>
            <w:tcW w:w="5213" w:type="dxa"/>
            <w:gridSpan w:val="3"/>
            <w:shd w:val="clear" w:color="auto" w:fill="AEAAAA" w:themeFill="background2" w:themeFillShade="BF"/>
          </w:tcPr>
          <w:p w:rsidR="00361B53" w:rsidRPr="00F84F42" w:rsidRDefault="00361B53" w:rsidP="00B66191">
            <w:pPr>
              <w:rPr>
                <w:b/>
              </w:rPr>
            </w:pPr>
            <w:r w:rsidRPr="00F84F42">
              <w:rPr>
                <w:b/>
              </w:rPr>
              <w:t>Agency (non-contract) Staff - Spend (£)</w:t>
            </w:r>
          </w:p>
        </w:tc>
      </w:tr>
      <w:tr w:rsidR="00361B53" w:rsidTr="00F84F42">
        <w:trPr>
          <w:trHeight w:val="733"/>
        </w:trPr>
        <w:tc>
          <w:tcPr>
            <w:tcW w:w="1270" w:type="dxa"/>
            <w:shd w:val="clear" w:color="auto" w:fill="AEAAAA" w:themeFill="background2" w:themeFillShade="BF"/>
          </w:tcPr>
          <w:p w:rsidR="00361B53" w:rsidRDefault="00361B53" w:rsidP="00B66191"/>
        </w:tc>
        <w:tc>
          <w:tcPr>
            <w:tcW w:w="1689" w:type="dxa"/>
            <w:shd w:val="clear" w:color="auto" w:fill="B4C6E7" w:themeFill="accent1" w:themeFillTint="66"/>
          </w:tcPr>
          <w:p w:rsidR="00361B53" w:rsidRDefault="00361B53" w:rsidP="00B66191">
            <w:r>
              <w:t xml:space="preserve">Total </w:t>
            </w:r>
          </w:p>
        </w:tc>
        <w:tc>
          <w:tcPr>
            <w:tcW w:w="1668" w:type="dxa"/>
            <w:shd w:val="clear" w:color="auto" w:fill="B4C6E7" w:themeFill="accent1" w:themeFillTint="66"/>
          </w:tcPr>
          <w:p w:rsidR="00361B53" w:rsidRDefault="00361B53" w:rsidP="00B66191">
            <w:r>
              <w:t>Non-clinical staff</w:t>
            </w:r>
          </w:p>
        </w:tc>
        <w:tc>
          <w:tcPr>
            <w:tcW w:w="1854" w:type="dxa"/>
            <w:shd w:val="clear" w:color="auto" w:fill="B4C6E7" w:themeFill="accent1" w:themeFillTint="66"/>
          </w:tcPr>
          <w:p w:rsidR="00361B53" w:rsidRDefault="00361B53" w:rsidP="00B66191">
            <w:r>
              <w:t>Clinical staff</w:t>
            </w:r>
          </w:p>
        </w:tc>
      </w:tr>
      <w:tr w:rsidR="00361B53" w:rsidTr="00F84F42">
        <w:trPr>
          <w:trHeight w:val="733"/>
        </w:trPr>
        <w:tc>
          <w:tcPr>
            <w:tcW w:w="1270" w:type="dxa"/>
            <w:shd w:val="clear" w:color="auto" w:fill="AEAAAA" w:themeFill="background2" w:themeFillShade="BF"/>
          </w:tcPr>
          <w:p w:rsidR="00361B53" w:rsidRDefault="00361B53" w:rsidP="00B66191">
            <w:r>
              <w:t>2016/17</w:t>
            </w:r>
          </w:p>
        </w:tc>
        <w:tc>
          <w:tcPr>
            <w:tcW w:w="1689" w:type="dxa"/>
            <w:shd w:val="clear" w:color="auto" w:fill="B4C6E7" w:themeFill="accent1" w:themeFillTint="66"/>
          </w:tcPr>
          <w:p w:rsidR="00361B53" w:rsidRDefault="00075395" w:rsidP="009A3DBE">
            <w:r>
              <w:t>£</w:t>
            </w:r>
            <w:r w:rsidR="009A3DBE">
              <w:t>65,610.16</w:t>
            </w:r>
          </w:p>
        </w:tc>
        <w:tc>
          <w:tcPr>
            <w:tcW w:w="1668" w:type="dxa"/>
            <w:shd w:val="clear" w:color="auto" w:fill="B4C6E7" w:themeFill="accent1" w:themeFillTint="66"/>
          </w:tcPr>
          <w:p w:rsidR="00361B53" w:rsidRDefault="009A3DBE" w:rsidP="00B66191">
            <w:r>
              <w:t>£65,610.16</w:t>
            </w:r>
          </w:p>
        </w:tc>
        <w:tc>
          <w:tcPr>
            <w:tcW w:w="1854" w:type="dxa"/>
            <w:shd w:val="clear" w:color="auto" w:fill="B4C6E7" w:themeFill="accent1" w:themeFillTint="66"/>
          </w:tcPr>
          <w:p w:rsidR="00361B53" w:rsidRDefault="00681C6B" w:rsidP="00B66191">
            <w:r>
              <w:t>£0</w:t>
            </w:r>
          </w:p>
        </w:tc>
      </w:tr>
      <w:tr w:rsidR="00361B53" w:rsidTr="00F84F42">
        <w:trPr>
          <w:trHeight w:val="733"/>
        </w:trPr>
        <w:tc>
          <w:tcPr>
            <w:tcW w:w="1270" w:type="dxa"/>
            <w:shd w:val="clear" w:color="auto" w:fill="AEAAAA" w:themeFill="background2" w:themeFillShade="BF"/>
          </w:tcPr>
          <w:p w:rsidR="00361B53" w:rsidRDefault="00361B53" w:rsidP="00B66191">
            <w:r>
              <w:t>2017/18</w:t>
            </w:r>
          </w:p>
        </w:tc>
        <w:tc>
          <w:tcPr>
            <w:tcW w:w="1689" w:type="dxa"/>
            <w:shd w:val="clear" w:color="auto" w:fill="B4C6E7" w:themeFill="accent1" w:themeFillTint="66"/>
          </w:tcPr>
          <w:p w:rsidR="00361B53" w:rsidRDefault="004A2BA2" w:rsidP="009A3DBE">
            <w:r>
              <w:t>£</w:t>
            </w:r>
            <w:r w:rsidR="009A3DBE">
              <w:t>21,151.76</w:t>
            </w:r>
          </w:p>
        </w:tc>
        <w:tc>
          <w:tcPr>
            <w:tcW w:w="1668" w:type="dxa"/>
            <w:shd w:val="clear" w:color="auto" w:fill="B4C6E7" w:themeFill="accent1" w:themeFillTint="66"/>
          </w:tcPr>
          <w:p w:rsidR="00361B53" w:rsidRDefault="009A3DBE" w:rsidP="00B66191">
            <w:r>
              <w:t>£21,151.76</w:t>
            </w:r>
          </w:p>
        </w:tc>
        <w:tc>
          <w:tcPr>
            <w:tcW w:w="1854" w:type="dxa"/>
            <w:shd w:val="clear" w:color="auto" w:fill="B4C6E7" w:themeFill="accent1" w:themeFillTint="66"/>
          </w:tcPr>
          <w:p w:rsidR="00361B53" w:rsidRDefault="00681C6B" w:rsidP="00B66191">
            <w:r>
              <w:t>£0</w:t>
            </w:r>
          </w:p>
        </w:tc>
      </w:tr>
    </w:tbl>
    <w:p w:rsidR="00361B53" w:rsidRDefault="00B66191" w:rsidP="00361B53">
      <w:r>
        <w:br w:type="textWrapping" w:clear="all"/>
      </w:r>
    </w:p>
    <w:tbl>
      <w:tblPr>
        <w:tblStyle w:val="TableGrid"/>
        <w:tblpPr w:leftFromText="180" w:rightFromText="180" w:vertAnchor="text" w:tblpY="1"/>
        <w:tblOverlap w:val="never"/>
        <w:tblW w:w="6485" w:type="dxa"/>
        <w:tblLook w:val="04A0" w:firstRow="1" w:lastRow="0" w:firstColumn="1" w:lastColumn="0" w:noHBand="0" w:noVBand="1"/>
      </w:tblPr>
      <w:tblGrid>
        <w:gridCol w:w="1265"/>
        <w:gridCol w:w="1693"/>
        <w:gridCol w:w="1693"/>
        <w:gridCol w:w="1834"/>
      </w:tblGrid>
      <w:tr w:rsidR="00AE6B8D" w:rsidTr="0093095F">
        <w:trPr>
          <w:trHeight w:val="557"/>
        </w:trPr>
        <w:tc>
          <w:tcPr>
            <w:tcW w:w="1265" w:type="dxa"/>
            <w:shd w:val="clear" w:color="auto" w:fill="AEAAAA" w:themeFill="background2" w:themeFillShade="BF"/>
          </w:tcPr>
          <w:p w:rsidR="00AE6B8D" w:rsidRDefault="00AE6B8D" w:rsidP="00AE6B8D">
            <w:pPr>
              <w:rPr>
                <w:color w:val="FFFFFF" w:themeColor="background1"/>
              </w:rPr>
            </w:pPr>
          </w:p>
        </w:tc>
        <w:tc>
          <w:tcPr>
            <w:tcW w:w="5220" w:type="dxa"/>
            <w:gridSpan w:val="3"/>
            <w:shd w:val="clear" w:color="auto" w:fill="AEAAAA" w:themeFill="background2" w:themeFillShade="BF"/>
          </w:tcPr>
          <w:p w:rsidR="00AE6B8D" w:rsidRPr="00F84F42" w:rsidRDefault="00AE6B8D" w:rsidP="00AE6B8D">
            <w:pPr>
              <w:rPr>
                <w:b/>
              </w:rPr>
            </w:pPr>
            <w:r w:rsidRPr="00F84F42">
              <w:rPr>
                <w:b/>
              </w:rPr>
              <w:t>Agency (non-contract) Staff – No. of Staff</w:t>
            </w:r>
            <w:r w:rsidR="00F84F42" w:rsidRPr="00F84F42">
              <w:rPr>
                <w:b/>
              </w:rPr>
              <w:t xml:space="preserve"> (FTE)</w:t>
            </w:r>
          </w:p>
        </w:tc>
      </w:tr>
      <w:tr w:rsidR="00AE6B8D" w:rsidTr="00F84F42">
        <w:trPr>
          <w:trHeight w:val="690"/>
        </w:trPr>
        <w:tc>
          <w:tcPr>
            <w:tcW w:w="1265" w:type="dxa"/>
            <w:shd w:val="clear" w:color="auto" w:fill="AEAAAA" w:themeFill="background2" w:themeFillShade="BF"/>
          </w:tcPr>
          <w:p w:rsidR="00AE6B8D" w:rsidRDefault="00AE6B8D" w:rsidP="00AE6B8D"/>
        </w:tc>
        <w:tc>
          <w:tcPr>
            <w:tcW w:w="1693" w:type="dxa"/>
            <w:shd w:val="clear" w:color="auto" w:fill="B4C6E7" w:themeFill="accent1" w:themeFillTint="66"/>
          </w:tcPr>
          <w:p w:rsidR="00AE6B8D" w:rsidRDefault="00AE6B8D" w:rsidP="00AE6B8D">
            <w:r>
              <w:t xml:space="preserve">Total </w:t>
            </w:r>
          </w:p>
        </w:tc>
        <w:tc>
          <w:tcPr>
            <w:tcW w:w="1693" w:type="dxa"/>
            <w:shd w:val="clear" w:color="auto" w:fill="B4C6E7" w:themeFill="accent1" w:themeFillTint="66"/>
          </w:tcPr>
          <w:p w:rsidR="00AE6B8D" w:rsidRDefault="00AE6B8D" w:rsidP="00AE6B8D">
            <w:r>
              <w:t>Non-clinical staff</w:t>
            </w:r>
          </w:p>
        </w:tc>
        <w:tc>
          <w:tcPr>
            <w:tcW w:w="1834" w:type="dxa"/>
            <w:shd w:val="clear" w:color="auto" w:fill="B4C6E7" w:themeFill="accent1" w:themeFillTint="66"/>
          </w:tcPr>
          <w:p w:rsidR="00AE6B8D" w:rsidRDefault="00AE6B8D" w:rsidP="00AE6B8D">
            <w:r>
              <w:t>Clinical staff</w:t>
            </w:r>
          </w:p>
        </w:tc>
      </w:tr>
      <w:tr w:rsidR="00AE6B8D" w:rsidTr="00F84F42">
        <w:trPr>
          <w:trHeight w:val="690"/>
        </w:trPr>
        <w:tc>
          <w:tcPr>
            <w:tcW w:w="1265" w:type="dxa"/>
            <w:shd w:val="clear" w:color="auto" w:fill="AEAAAA" w:themeFill="background2" w:themeFillShade="BF"/>
          </w:tcPr>
          <w:p w:rsidR="00AE6B8D" w:rsidRDefault="00AE6B8D" w:rsidP="00AE6B8D">
            <w:r>
              <w:t>2016/17</w:t>
            </w:r>
          </w:p>
        </w:tc>
        <w:tc>
          <w:tcPr>
            <w:tcW w:w="1693" w:type="dxa"/>
            <w:shd w:val="clear" w:color="auto" w:fill="B4C6E7" w:themeFill="accent1" w:themeFillTint="66"/>
          </w:tcPr>
          <w:p w:rsidR="00AE6B8D" w:rsidRDefault="009A3DBE" w:rsidP="00AE6B8D">
            <w:r>
              <w:t>3.36</w:t>
            </w:r>
          </w:p>
        </w:tc>
        <w:tc>
          <w:tcPr>
            <w:tcW w:w="1693" w:type="dxa"/>
            <w:shd w:val="clear" w:color="auto" w:fill="B4C6E7" w:themeFill="accent1" w:themeFillTint="66"/>
          </w:tcPr>
          <w:p w:rsidR="00AE6B8D" w:rsidRDefault="009A3DBE" w:rsidP="00AE6B8D">
            <w:r>
              <w:t>3.36</w:t>
            </w:r>
          </w:p>
          <w:p w:rsidR="009A3DBE" w:rsidRDefault="009A3DBE" w:rsidP="00AE6B8D"/>
        </w:tc>
        <w:tc>
          <w:tcPr>
            <w:tcW w:w="1834" w:type="dxa"/>
            <w:shd w:val="clear" w:color="auto" w:fill="B4C6E7" w:themeFill="accent1" w:themeFillTint="66"/>
          </w:tcPr>
          <w:p w:rsidR="00AE6B8D" w:rsidRDefault="00681C6B" w:rsidP="00AE6B8D">
            <w:r>
              <w:t>0</w:t>
            </w:r>
          </w:p>
        </w:tc>
      </w:tr>
      <w:tr w:rsidR="00AE6B8D" w:rsidTr="00F84F42">
        <w:trPr>
          <w:trHeight w:val="690"/>
        </w:trPr>
        <w:tc>
          <w:tcPr>
            <w:tcW w:w="1265" w:type="dxa"/>
            <w:shd w:val="clear" w:color="auto" w:fill="AEAAAA" w:themeFill="background2" w:themeFillShade="BF"/>
          </w:tcPr>
          <w:p w:rsidR="00AE6B8D" w:rsidRDefault="00AE6B8D" w:rsidP="00AE6B8D">
            <w:r>
              <w:t>2017/18</w:t>
            </w:r>
          </w:p>
        </w:tc>
        <w:tc>
          <w:tcPr>
            <w:tcW w:w="1693" w:type="dxa"/>
            <w:shd w:val="clear" w:color="auto" w:fill="B4C6E7" w:themeFill="accent1" w:themeFillTint="66"/>
          </w:tcPr>
          <w:p w:rsidR="00AE6B8D" w:rsidRDefault="009A3DBE" w:rsidP="00AE6B8D">
            <w:r>
              <w:t>4.48</w:t>
            </w:r>
          </w:p>
        </w:tc>
        <w:tc>
          <w:tcPr>
            <w:tcW w:w="1693" w:type="dxa"/>
            <w:shd w:val="clear" w:color="auto" w:fill="B4C6E7" w:themeFill="accent1" w:themeFillTint="66"/>
          </w:tcPr>
          <w:p w:rsidR="00AE6B8D" w:rsidRDefault="009A3DBE" w:rsidP="00AE6B8D">
            <w:r>
              <w:t>4.48</w:t>
            </w:r>
          </w:p>
        </w:tc>
        <w:tc>
          <w:tcPr>
            <w:tcW w:w="1834" w:type="dxa"/>
            <w:shd w:val="clear" w:color="auto" w:fill="B4C6E7" w:themeFill="accent1" w:themeFillTint="66"/>
          </w:tcPr>
          <w:p w:rsidR="00AE6B8D" w:rsidRDefault="00681C6B" w:rsidP="00AE6B8D">
            <w:r>
              <w:t>0</w:t>
            </w:r>
          </w:p>
        </w:tc>
      </w:tr>
    </w:tbl>
    <w:p w:rsidR="00361B53" w:rsidRDefault="00AE6B8D" w:rsidP="00361B53">
      <w:r>
        <w:br w:type="textWrapping" w:clear="all"/>
      </w:r>
    </w:p>
    <w:p w:rsidR="00361B53" w:rsidRDefault="00361B53" w:rsidP="00361B53">
      <w:r>
        <w:t xml:space="preserve">2. Based on the </w:t>
      </w:r>
      <w:r w:rsidRPr="00483348">
        <w:rPr>
          <w:b/>
        </w:rPr>
        <w:t>clinical</w:t>
      </w:r>
      <w:r>
        <w:t xml:space="preserve"> agency spend and staffing numbers provided above, please provide a further breakdown by the following clinical staffing categories.  </w:t>
      </w:r>
    </w:p>
    <w:p w:rsidR="00361B53" w:rsidRDefault="00361B53" w:rsidP="00361B53"/>
    <w:tbl>
      <w:tblPr>
        <w:tblStyle w:val="TableGrid"/>
        <w:tblW w:w="9160" w:type="dxa"/>
        <w:tblLook w:val="04A0" w:firstRow="1" w:lastRow="0" w:firstColumn="1" w:lastColumn="0" w:noHBand="0" w:noVBand="1"/>
      </w:tblPr>
      <w:tblGrid>
        <w:gridCol w:w="1081"/>
        <w:gridCol w:w="1642"/>
        <w:gridCol w:w="1667"/>
        <w:gridCol w:w="1701"/>
        <w:gridCol w:w="1417"/>
        <w:gridCol w:w="1652"/>
      </w:tblGrid>
      <w:tr w:rsidR="00361B53" w:rsidTr="0093095F">
        <w:trPr>
          <w:trHeight w:val="641"/>
        </w:trPr>
        <w:tc>
          <w:tcPr>
            <w:tcW w:w="9160" w:type="dxa"/>
            <w:gridSpan w:val="6"/>
            <w:shd w:val="clear" w:color="auto" w:fill="AEAAAA" w:themeFill="background2" w:themeFillShade="BF"/>
          </w:tcPr>
          <w:p w:rsidR="00361B53" w:rsidRDefault="00361B53" w:rsidP="00B1564A">
            <w:r w:rsidRPr="00F84F42">
              <w:rPr>
                <w:b/>
              </w:rPr>
              <w:t>Clinical Staff Only - Agency (non-contract) Staff - Spend (£)</w:t>
            </w:r>
          </w:p>
        </w:tc>
      </w:tr>
      <w:tr w:rsidR="00361B53" w:rsidTr="0093095F">
        <w:trPr>
          <w:trHeight w:val="901"/>
        </w:trPr>
        <w:tc>
          <w:tcPr>
            <w:tcW w:w="1081" w:type="dxa"/>
            <w:shd w:val="clear" w:color="auto" w:fill="AEAAAA" w:themeFill="background2" w:themeFillShade="BF"/>
          </w:tcPr>
          <w:p w:rsidR="00361B53" w:rsidRDefault="00361B53" w:rsidP="00B1564A"/>
        </w:tc>
        <w:tc>
          <w:tcPr>
            <w:tcW w:w="1642" w:type="dxa"/>
            <w:shd w:val="clear" w:color="auto" w:fill="B4C6E7" w:themeFill="accent1" w:themeFillTint="66"/>
          </w:tcPr>
          <w:p w:rsidR="00361B53" w:rsidRDefault="00361B53" w:rsidP="00B1564A">
            <w:r>
              <w:t>Locum Doctors (including Locum GPs)</w:t>
            </w:r>
          </w:p>
        </w:tc>
        <w:tc>
          <w:tcPr>
            <w:tcW w:w="1667" w:type="dxa"/>
            <w:shd w:val="clear" w:color="auto" w:fill="B4C6E7" w:themeFill="accent1" w:themeFillTint="66"/>
          </w:tcPr>
          <w:p w:rsidR="00361B53" w:rsidRDefault="00361B53" w:rsidP="00B1564A">
            <w:r>
              <w:t xml:space="preserve">Nurses </w:t>
            </w:r>
          </w:p>
        </w:tc>
        <w:tc>
          <w:tcPr>
            <w:tcW w:w="1701" w:type="dxa"/>
            <w:shd w:val="clear" w:color="auto" w:fill="B4C6E7" w:themeFill="accent1" w:themeFillTint="66"/>
          </w:tcPr>
          <w:p w:rsidR="00361B53" w:rsidRDefault="00361B53" w:rsidP="00B1564A">
            <w:r>
              <w:t>AHPs &amp; Health Science</w:t>
            </w:r>
          </w:p>
        </w:tc>
        <w:tc>
          <w:tcPr>
            <w:tcW w:w="1417" w:type="dxa"/>
            <w:shd w:val="clear" w:color="auto" w:fill="B4C6E7" w:themeFill="accent1" w:themeFillTint="66"/>
          </w:tcPr>
          <w:p w:rsidR="00361B53" w:rsidRDefault="00361B53" w:rsidP="00B1564A">
            <w:r>
              <w:t>Social Care</w:t>
            </w:r>
          </w:p>
        </w:tc>
        <w:tc>
          <w:tcPr>
            <w:tcW w:w="1652" w:type="dxa"/>
            <w:shd w:val="clear" w:color="auto" w:fill="B4C6E7" w:themeFill="accent1" w:themeFillTint="66"/>
          </w:tcPr>
          <w:p w:rsidR="00361B53" w:rsidRDefault="00361B53" w:rsidP="00B1564A">
            <w:r>
              <w:t>Other</w:t>
            </w:r>
          </w:p>
        </w:tc>
      </w:tr>
      <w:tr w:rsidR="00361B53" w:rsidTr="0093095F">
        <w:trPr>
          <w:trHeight w:val="901"/>
        </w:trPr>
        <w:tc>
          <w:tcPr>
            <w:tcW w:w="1081" w:type="dxa"/>
            <w:shd w:val="clear" w:color="auto" w:fill="AEAAAA" w:themeFill="background2" w:themeFillShade="BF"/>
          </w:tcPr>
          <w:p w:rsidR="00361B53" w:rsidRDefault="00361B53" w:rsidP="00B1564A">
            <w:r>
              <w:t>2016/17</w:t>
            </w:r>
          </w:p>
        </w:tc>
        <w:tc>
          <w:tcPr>
            <w:tcW w:w="1642" w:type="dxa"/>
            <w:shd w:val="clear" w:color="auto" w:fill="B4C6E7" w:themeFill="accent1" w:themeFillTint="66"/>
          </w:tcPr>
          <w:p w:rsidR="00361B53" w:rsidRPr="0093095F" w:rsidRDefault="00681C6B" w:rsidP="00B1564A">
            <w:pPr>
              <w:rPr>
                <w:sz w:val="20"/>
              </w:rPr>
            </w:pPr>
            <w:r>
              <w:rPr>
                <w:sz w:val="20"/>
              </w:rPr>
              <w:t>N/A</w:t>
            </w:r>
          </w:p>
        </w:tc>
        <w:tc>
          <w:tcPr>
            <w:tcW w:w="1667" w:type="dxa"/>
            <w:shd w:val="clear" w:color="auto" w:fill="B4C6E7" w:themeFill="accent1" w:themeFillTint="66"/>
          </w:tcPr>
          <w:p w:rsidR="00361B53" w:rsidRPr="0093095F" w:rsidRDefault="00681C6B" w:rsidP="00B1564A">
            <w:pPr>
              <w:rPr>
                <w:sz w:val="20"/>
              </w:rPr>
            </w:pPr>
            <w:r>
              <w:rPr>
                <w:sz w:val="20"/>
              </w:rPr>
              <w:t>N/A</w:t>
            </w:r>
          </w:p>
        </w:tc>
        <w:tc>
          <w:tcPr>
            <w:tcW w:w="1701" w:type="dxa"/>
            <w:shd w:val="clear" w:color="auto" w:fill="B4C6E7" w:themeFill="accent1" w:themeFillTint="66"/>
          </w:tcPr>
          <w:p w:rsidR="00361B53" w:rsidRPr="0093095F" w:rsidRDefault="00681C6B" w:rsidP="00B1564A">
            <w:pPr>
              <w:rPr>
                <w:sz w:val="20"/>
              </w:rPr>
            </w:pPr>
            <w:r>
              <w:rPr>
                <w:sz w:val="20"/>
              </w:rPr>
              <w:t>N/A</w:t>
            </w:r>
          </w:p>
        </w:tc>
        <w:tc>
          <w:tcPr>
            <w:tcW w:w="1417" w:type="dxa"/>
            <w:shd w:val="clear" w:color="auto" w:fill="B4C6E7" w:themeFill="accent1" w:themeFillTint="66"/>
          </w:tcPr>
          <w:p w:rsidR="00361B53" w:rsidRPr="0093095F" w:rsidRDefault="00681C6B" w:rsidP="00B1564A">
            <w:pPr>
              <w:rPr>
                <w:sz w:val="20"/>
              </w:rPr>
            </w:pPr>
            <w:r>
              <w:rPr>
                <w:sz w:val="20"/>
              </w:rPr>
              <w:t>N/A</w:t>
            </w:r>
          </w:p>
        </w:tc>
        <w:tc>
          <w:tcPr>
            <w:tcW w:w="1652" w:type="dxa"/>
            <w:shd w:val="clear" w:color="auto" w:fill="B4C6E7" w:themeFill="accent1" w:themeFillTint="66"/>
          </w:tcPr>
          <w:p w:rsidR="00361B53" w:rsidRPr="0093095F" w:rsidRDefault="00681C6B" w:rsidP="00B1564A">
            <w:pPr>
              <w:rPr>
                <w:sz w:val="20"/>
              </w:rPr>
            </w:pPr>
            <w:r>
              <w:rPr>
                <w:sz w:val="20"/>
              </w:rPr>
              <w:t>N/A</w:t>
            </w:r>
          </w:p>
        </w:tc>
      </w:tr>
      <w:tr w:rsidR="00361B53" w:rsidTr="0093095F">
        <w:trPr>
          <w:trHeight w:val="938"/>
        </w:trPr>
        <w:tc>
          <w:tcPr>
            <w:tcW w:w="1081" w:type="dxa"/>
            <w:shd w:val="clear" w:color="auto" w:fill="AEAAAA" w:themeFill="background2" w:themeFillShade="BF"/>
          </w:tcPr>
          <w:p w:rsidR="00361B53" w:rsidRDefault="00361B53" w:rsidP="00B1564A">
            <w:r>
              <w:t>2017/18</w:t>
            </w:r>
          </w:p>
        </w:tc>
        <w:tc>
          <w:tcPr>
            <w:tcW w:w="1642" w:type="dxa"/>
            <w:shd w:val="clear" w:color="auto" w:fill="B4C6E7" w:themeFill="accent1" w:themeFillTint="66"/>
          </w:tcPr>
          <w:p w:rsidR="00361B53" w:rsidRPr="0093095F" w:rsidRDefault="00681C6B" w:rsidP="00B1564A">
            <w:pPr>
              <w:rPr>
                <w:sz w:val="20"/>
              </w:rPr>
            </w:pPr>
            <w:r>
              <w:rPr>
                <w:sz w:val="20"/>
              </w:rPr>
              <w:t>N/A</w:t>
            </w:r>
          </w:p>
        </w:tc>
        <w:tc>
          <w:tcPr>
            <w:tcW w:w="1667" w:type="dxa"/>
            <w:shd w:val="clear" w:color="auto" w:fill="B4C6E7" w:themeFill="accent1" w:themeFillTint="66"/>
          </w:tcPr>
          <w:p w:rsidR="00361B53" w:rsidRPr="0093095F" w:rsidRDefault="00681C6B" w:rsidP="00B1564A">
            <w:pPr>
              <w:rPr>
                <w:sz w:val="20"/>
              </w:rPr>
            </w:pPr>
            <w:r>
              <w:rPr>
                <w:sz w:val="20"/>
              </w:rPr>
              <w:t>N/A</w:t>
            </w:r>
          </w:p>
        </w:tc>
        <w:tc>
          <w:tcPr>
            <w:tcW w:w="1701" w:type="dxa"/>
            <w:shd w:val="clear" w:color="auto" w:fill="B4C6E7" w:themeFill="accent1" w:themeFillTint="66"/>
          </w:tcPr>
          <w:p w:rsidR="00361B53" w:rsidRPr="0093095F" w:rsidRDefault="00681C6B" w:rsidP="00B1564A">
            <w:pPr>
              <w:rPr>
                <w:sz w:val="20"/>
              </w:rPr>
            </w:pPr>
            <w:r>
              <w:rPr>
                <w:sz w:val="20"/>
              </w:rPr>
              <w:t>N/A</w:t>
            </w:r>
          </w:p>
        </w:tc>
        <w:tc>
          <w:tcPr>
            <w:tcW w:w="1417" w:type="dxa"/>
            <w:shd w:val="clear" w:color="auto" w:fill="B4C6E7" w:themeFill="accent1" w:themeFillTint="66"/>
          </w:tcPr>
          <w:p w:rsidR="00361B53" w:rsidRPr="0093095F" w:rsidRDefault="00681C6B" w:rsidP="00B1564A">
            <w:pPr>
              <w:rPr>
                <w:sz w:val="20"/>
              </w:rPr>
            </w:pPr>
            <w:r>
              <w:rPr>
                <w:sz w:val="20"/>
              </w:rPr>
              <w:t>N/A</w:t>
            </w:r>
          </w:p>
        </w:tc>
        <w:tc>
          <w:tcPr>
            <w:tcW w:w="1652" w:type="dxa"/>
            <w:shd w:val="clear" w:color="auto" w:fill="B4C6E7" w:themeFill="accent1" w:themeFillTint="66"/>
          </w:tcPr>
          <w:p w:rsidR="00361B53" w:rsidRPr="0093095F" w:rsidRDefault="00681C6B" w:rsidP="00B1564A">
            <w:pPr>
              <w:rPr>
                <w:sz w:val="20"/>
              </w:rPr>
            </w:pPr>
            <w:r>
              <w:rPr>
                <w:sz w:val="20"/>
              </w:rPr>
              <w:t>N/A</w:t>
            </w:r>
          </w:p>
        </w:tc>
      </w:tr>
    </w:tbl>
    <w:p w:rsidR="00361B53" w:rsidRDefault="00361B53" w:rsidP="00361B53"/>
    <w:p w:rsidR="00AE6B8D" w:rsidRDefault="00AE6B8D" w:rsidP="00361B53"/>
    <w:p w:rsidR="00AE6B8D" w:rsidRDefault="00AE6B8D" w:rsidP="00361B53"/>
    <w:p w:rsidR="00AE6B8D" w:rsidRDefault="00AE6B8D" w:rsidP="00361B53"/>
    <w:p w:rsidR="00AE6B8D" w:rsidRDefault="00AE6B8D" w:rsidP="00361B53"/>
    <w:tbl>
      <w:tblPr>
        <w:tblStyle w:val="TableGrid"/>
        <w:tblW w:w="5272" w:type="pct"/>
        <w:tblLook w:val="04A0" w:firstRow="1" w:lastRow="0" w:firstColumn="1" w:lastColumn="0" w:noHBand="0" w:noVBand="1"/>
      </w:tblPr>
      <w:tblGrid>
        <w:gridCol w:w="1155"/>
        <w:gridCol w:w="1748"/>
        <w:gridCol w:w="1600"/>
        <w:gridCol w:w="1744"/>
        <w:gridCol w:w="1742"/>
        <w:gridCol w:w="1756"/>
      </w:tblGrid>
      <w:tr w:rsidR="00361B53" w:rsidTr="0093095F">
        <w:trPr>
          <w:trHeight w:val="656"/>
        </w:trPr>
        <w:tc>
          <w:tcPr>
            <w:tcW w:w="5000" w:type="pct"/>
            <w:gridSpan w:val="6"/>
            <w:shd w:val="clear" w:color="auto" w:fill="AEAAAA" w:themeFill="background2" w:themeFillShade="BF"/>
          </w:tcPr>
          <w:p w:rsidR="00361B53" w:rsidRPr="00F84F42" w:rsidRDefault="00361B53" w:rsidP="0093095F">
            <w:pPr>
              <w:rPr>
                <w:b/>
              </w:rPr>
            </w:pPr>
            <w:r w:rsidRPr="00F84F42">
              <w:rPr>
                <w:b/>
              </w:rPr>
              <w:t xml:space="preserve">Clinical Staff Only - Agency (non-contract) Staff – No. of Staff </w:t>
            </w:r>
            <w:r w:rsidR="00F84F42" w:rsidRPr="00F84F42">
              <w:rPr>
                <w:b/>
              </w:rPr>
              <w:t>(FTE)</w:t>
            </w:r>
          </w:p>
        </w:tc>
      </w:tr>
      <w:tr w:rsidR="0093095F" w:rsidTr="0093095F">
        <w:trPr>
          <w:trHeight w:val="923"/>
        </w:trPr>
        <w:tc>
          <w:tcPr>
            <w:tcW w:w="592" w:type="pct"/>
            <w:shd w:val="clear" w:color="auto" w:fill="AEAAAA" w:themeFill="background2" w:themeFillShade="BF"/>
          </w:tcPr>
          <w:p w:rsidR="00361B53" w:rsidRDefault="00361B53" w:rsidP="00B1564A"/>
        </w:tc>
        <w:tc>
          <w:tcPr>
            <w:tcW w:w="897" w:type="pct"/>
            <w:shd w:val="clear" w:color="auto" w:fill="B4C6E7" w:themeFill="accent1" w:themeFillTint="66"/>
          </w:tcPr>
          <w:p w:rsidR="00361B53" w:rsidRDefault="00361B53" w:rsidP="00B1564A">
            <w:r>
              <w:t>Locum Doctors (including Locum GPs)</w:t>
            </w:r>
          </w:p>
        </w:tc>
        <w:tc>
          <w:tcPr>
            <w:tcW w:w="821" w:type="pct"/>
            <w:shd w:val="clear" w:color="auto" w:fill="B4C6E7" w:themeFill="accent1" w:themeFillTint="66"/>
          </w:tcPr>
          <w:p w:rsidR="00361B53" w:rsidRDefault="00361B53" w:rsidP="00B1564A">
            <w:r>
              <w:t xml:space="preserve">Nurses </w:t>
            </w:r>
          </w:p>
        </w:tc>
        <w:tc>
          <w:tcPr>
            <w:tcW w:w="895" w:type="pct"/>
            <w:shd w:val="clear" w:color="auto" w:fill="B4C6E7" w:themeFill="accent1" w:themeFillTint="66"/>
          </w:tcPr>
          <w:p w:rsidR="00361B53" w:rsidRDefault="00361B53" w:rsidP="00B1564A">
            <w:r>
              <w:t>AHPs &amp; Health Science</w:t>
            </w:r>
          </w:p>
        </w:tc>
        <w:tc>
          <w:tcPr>
            <w:tcW w:w="894" w:type="pct"/>
            <w:shd w:val="clear" w:color="auto" w:fill="B4C6E7" w:themeFill="accent1" w:themeFillTint="66"/>
          </w:tcPr>
          <w:p w:rsidR="00361B53" w:rsidRDefault="00361B53" w:rsidP="00B1564A">
            <w:r>
              <w:t>Social Care</w:t>
            </w:r>
          </w:p>
        </w:tc>
        <w:tc>
          <w:tcPr>
            <w:tcW w:w="901" w:type="pct"/>
            <w:shd w:val="clear" w:color="auto" w:fill="B4C6E7" w:themeFill="accent1" w:themeFillTint="66"/>
          </w:tcPr>
          <w:p w:rsidR="00361B53" w:rsidRDefault="00361B53" w:rsidP="00B1564A">
            <w:r>
              <w:t>Other</w:t>
            </w:r>
          </w:p>
        </w:tc>
      </w:tr>
      <w:tr w:rsidR="0093095F" w:rsidTr="0093095F">
        <w:trPr>
          <w:trHeight w:val="923"/>
        </w:trPr>
        <w:tc>
          <w:tcPr>
            <w:tcW w:w="592" w:type="pct"/>
            <w:shd w:val="clear" w:color="auto" w:fill="AEAAAA" w:themeFill="background2" w:themeFillShade="BF"/>
          </w:tcPr>
          <w:p w:rsidR="00361B53" w:rsidRDefault="00361B53" w:rsidP="00B1564A">
            <w:r>
              <w:t>2016/17</w:t>
            </w:r>
          </w:p>
        </w:tc>
        <w:tc>
          <w:tcPr>
            <w:tcW w:w="897" w:type="pct"/>
            <w:shd w:val="clear" w:color="auto" w:fill="B4C6E7" w:themeFill="accent1" w:themeFillTint="66"/>
          </w:tcPr>
          <w:p w:rsidR="00361B53" w:rsidRPr="00B66191" w:rsidRDefault="00681C6B" w:rsidP="00B1564A">
            <w:pPr>
              <w:rPr>
                <w:sz w:val="20"/>
                <w:szCs w:val="20"/>
              </w:rPr>
            </w:pPr>
            <w:r>
              <w:rPr>
                <w:sz w:val="20"/>
                <w:szCs w:val="20"/>
              </w:rPr>
              <w:t>N/A</w:t>
            </w:r>
          </w:p>
        </w:tc>
        <w:tc>
          <w:tcPr>
            <w:tcW w:w="821" w:type="pct"/>
            <w:shd w:val="clear" w:color="auto" w:fill="B4C6E7" w:themeFill="accent1" w:themeFillTint="66"/>
          </w:tcPr>
          <w:p w:rsidR="00361B53" w:rsidRPr="00B66191" w:rsidRDefault="00681C6B" w:rsidP="00B1564A">
            <w:pPr>
              <w:rPr>
                <w:sz w:val="20"/>
                <w:szCs w:val="20"/>
              </w:rPr>
            </w:pPr>
            <w:r>
              <w:rPr>
                <w:sz w:val="20"/>
                <w:szCs w:val="20"/>
              </w:rPr>
              <w:t>N/A</w:t>
            </w:r>
          </w:p>
        </w:tc>
        <w:tc>
          <w:tcPr>
            <w:tcW w:w="895" w:type="pct"/>
            <w:shd w:val="clear" w:color="auto" w:fill="B4C6E7" w:themeFill="accent1" w:themeFillTint="66"/>
          </w:tcPr>
          <w:p w:rsidR="00361B53" w:rsidRPr="00B66191" w:rsidRDefault="00681C6B" w:rsidP="00B1564A">
            <w:pPr>
              <w:rPr>
                <w:sz w:val="20"/>
                <w:szCs w:val="20"/>
              </w:rPr>
            </w:pPr>
            <w:r>
              <w:rPr>
                <w:sz w:val="20"/>
                <w:szCs w:val="20"/>
              </w:rPr>
              <w:t>N/A</w:t>
            </w:r>
          </w:p>
        </w:tc>
        <w:tc>
          <w:tcPr>
            <w:tcW w:w="894" w:type="pct"/>
            <w:shd w:val="clear" w:color="auto" w:fill="B4C6E7" w:themeFill="accent1" w:themeFillTint="66"/>
          </w:tcPr>
          <w:p w:rsidR="00361B53" w:rsidRPr="00B66191" w:rsidRDefault="00681C6B" w:rsidP="00B1564A">
            <w:pPr>
              <w:rPr>
                <w:sz w:val="20"/>
                <w:szCs w:val="20"/>
              </w:rPr>
            </w:pPr>
            <w:r>
              <w:rPr>
                <w:sz w:val="20"/>
                <w:szCs w:val="20"/>
              </w:rPr>
              <w:t>N/A</w:t>
            </w:r>
          </w:p>
        </w:tc>
        <w:tc>
          <w:tcPr>
            <w:tcW w:w="901" w:type="pct"/>
            <w:shd w:val="clear" w:color="auto" w:fill="B4C6E7" w:themeFill="accent1" w:themeFillTint="66"/>
          </w:tcPr>
          <w:p w:rsidR="00361B53" w:rsidRPr="00B66191" w:rsidRDefault="00681C6B" w:rsidP="00B1564A">
            <w:pPr>
              <w:rPr>
                <w:sz w:val="20"/>
                <w:szCs w:val="20"/>
              </w:rPr>
            </w:pPr>
            <w:r>
              <w:rPr>
                <w:sz w:val="20"/>
                <w:szCs w:val="20"/>
              </w:rPr>
              <w:t>N/A</w:t>
            </w:r>
          </w:p>
        </w:tc>
      </w:tr>
      <w:tr w:rsidR="0093095F" w:rsidTr="0093095F">
        <w:trPr>
          <w:trHeight w:val="923"/>
        </w:trPr>
        <w:tc>
          <w:tcPr>
            <w:tcW w:w="592" w:type="pct"/>
            <w:shd w:val="clear" w:color="auto" w:fill="AEAAAA" w:themeFill="background2" w:themeFillShade="BF"/>
          </w:tcPr>
          <w:p w:rsidR="00361B53" w:rsidRDefault="00361B53" w:rsidP="00B1564A">
            <w:r>
              <w:t>2017/18</w:t>
            </w:r>
          </w:p>
        </w:tc>
        <w:tc>
          <w:tcPr>
            <w:tcW w:w="897" w:type="pct"/>
            <w:shd w:val="clear" w:color="auto" w:fill="B4C6E7" w:themeFill="accent1" w:themeFillTint="66"/>
          </w:tcPr>
          <w:p w:rsidR="00361B53" w:rsidRPr="00B66191" w:rsidRDefault="00681C6B" w:rsidP="00B1564A">
            <w:pPr>
              <w:rPr>
                <w:sz w:val="20"/>
                <w:szCs w:val="20"/>
              </w:rPr>
            </w:pPr>
            <w:r>
              <w:rPr>
                <w:sz w:val="20"/>
                <w:szCs w:val="20"/>
              </w:rPr>
              <w:t>N/A</w:t>
            </w:r>
          </w:p>
        </w:tc>
        <w:tc>
          <w:tcPr>
            <w:tcW w:w="821" w:type="pct"/>
            <w:shd w:val="clear" w:color="auto" w:fill="B4C6E7" w:themeFill="accent1" w:themeFillTint="66"/>
          </w:tcPr>
          <w:p w:rsidR="00361B53" w:rsidRPr="00B66191" w:rsidRDefault="00681C6B" w:rsidP="00B1564A">
            <w:pPr>
              <w:rPr>
                <w:sz w:val="20"/>
                <w:szCs w:val="20"/>
              </w:rPr>
            </w:pPr>
            <w:r>
              <w:rPr>
                <w:sz w:val="20"/>
                <w:szCs w:val="20"/>
              </w:rPr>
              <w:t>N/A</w:t>
            </w:r>
          </w:p>
        </w:tc>
        <w:tc>
          <w:tcPr>
            <w:tcW w:w="895" w:type="pct"/>
            <w:shd w:val="clear" w:color="auto" w:fill="B4C6E7" w:themeFill="accent1" w:themeFillTint="66"/>
          </w:tcPr>
          <w:p w:rsidR="00361B53" w:rsidRPr="00B66191" w:rsidRDefault="00681C6B" w:rsidP="00B1564A">
            <w:pPr>
              <w:rPr>
                <w:sz w:val="20"/>
                <w:szCs w:val="20"/>
              </w:rPr>
            </w:pPr>
            <w:r>
              <w:rPr>
                <w:sz w:val="20"/>
                <w:szCs w:val="20"/>
              </w:rPr>
              <w:t>N/A</w:t>
            </w:r>
          </w:p>
        </w:tc>
        <w:tc>
          <w:tcPr>
            <w:tcW w:w="894" w:type="pct"/>
            <w:shd w:val="clear" w:color="auto" w:fill="B4C6E7" w:themeFill="accent1" w:themeFillTint="66"/>
          </w:tcPr>
          <w:p w:rsidR="00361B53" w:rsidRPr="00B66191" w:rsidRDefault="00681C6B" w:rsidP="00B1564A">
            <w:pPr>
              <w:rPr>
                <w:sz w:val="20"/>
                <w:szCs w:val="20"/>
              </w:rPr>
            </w:pPr>
            <w:r>
              <w:rPr>
                <w:sz w:val="20"/>
                <w:szCs w:val="20"/>
              </w:rPr>
              <w:t>N/A</w:t>
            </w:r>
          </w:p>
        </w:tc>
        <w:tc>
          <w:tcPr>
            <w:tcW w:w="901" w:type="pct"/>
            <w:shd w:val="clear" w:color="auto" w:fill="B4C6E7" w:themeFill="accent1" w:themeFillTint="66"/>
          </w:tcPr>
          <w:p w:rsidR="00361B53" w:rsidRPr="00B66191" w:rsidRDefault="00681C6B" w:rsidP="00B1564A">
            <w:pPr>
              <w:rPr>
                <w:sz w:val="20"/>
                <w:szCs w:val="20"/>
              </w:rPr>
            </w:pPr>
            <w:r>
              <w:rPr>
                <w:sz w:val="20"/>
                <w:szCs w:val="20"/>
              </w:rPr>
              <w:t>N/A</w:t>
            </w:r>
          </w:p>
        </w:tc>
      </w:tr>
    </w:tbl>
    <w:p w:rsidR="00361B53" w:rsidRDefault="00361B53" w:rsidP="00361B53"/>
    <w:p w:rsidR="00B66191" w:rsidRDefault="00361B53" w:rsidP="00361B53">
      <w:r>
        <w:t>3. Please state the number of temporary staffing agencies the CCG engaged with in 17/18?</w:t>
      </w:r>
      <w:r w:rsidR="004A2BA2">
        <w:t xml:space="preserve"> 4</w:t>
      </w:r>
    </w:p>
    <w:p w:rsidR="00B66191" w:rsidRDefault="00B66191" w:rsidP="00361B53"/>
    <w:p w:rsidR="00361B53" w:rsidRDefault="00361B53" w:rsidP="00361B53">
      <w:r>
        <w:t>4. Please list the name of the top five agencies for spend on agency staff across all staffing groups in 17/18. Please provide the total spend in 17/18 towards each named agency.</w:t>
      </w:r>
    </w:p>
    <w:tbl>
      <w:tblPr>
        <w:tblStyle w:val="TableGrid"/>
        <w:tblW w:w="0" w:type="auto"/>
        <w:tblLook w:val="04A0" w:firstRow="1" w:lastRow="0" w:firstColumn="1" w:lastColumn="0" w:noHBand="0" w:noVBand="1"/>
      </w:tblPr>
      <w:tblGrid>
        <w:gridCol w:w="3247"/>
        <w:gridCol w:w="2746"/>
      </w:tblGrid>
      <w:tr w:rsidR="00361B53" w:rsidTr="00B1564A">
        <w:trPr>
          <w:trHeight w:val="679"/>
        </w:trPr>
        <w:tc>
          <w:tcPr>
            <w:tcW w:w="3247" w:type="dxa"/>
            <w:shd w:val="clear" w:color="auto" w:fill="2F5496" w:themeFill="accent1" w:themeFillShade="BF"/>
          </w:tcPr>
          <w:p w:rsidR="00361B53" w:rsidRPr="004D2D2F" w:rsidRDefault="00361B53" w:rsidP="00B1564A">
            <w:pPr>
              <w:jc w:val="center"/>
              <w:rPr>
                <w:color w:val="FFFFFF" w:themeColor="background1"/>
              </w:rPr>
            </w:pPr>
            <w:r w:rsidRPr="004D2D2F">
              <w:rPr>
                <w:color w:val="FFFFFF" w:themeColor="background1"/>
              </w:rPr>
              <w:t>Name of agency</w:t>
            </w:r>
          </w:p>
        </w:tc>
        <w:tc>
          <w:tcPr>
            <w:tcW w:w="2746" w:type="dxa"/>
            <w:shd w:val="clear" w:color="auto" w:fill="2F5496" w:themeFill="accent1" w:themeFillShade="BF"/>
          </w:tcPr>
          <w:p w:rsidR="00361B53" w:rsidRPr="004D2D2F" w:rsidRDefault="00361B53" w:rsidP="00B1564A">
            <w:pPr>
              <w:jc w:val="center"/>
              <w:rPr>
                <w:color w:val="FFFFFF" w:themeColor="background1"/>
              </w:rPr>
            </w:pPr>
            <w:r w:rsidRPr="004D2D2F">
              <w:rPr>
                <w:color w:val="FFFFFF" w:themeColor="background1"/>
              </w:rPr>
              <w:t xml:space="preserve">Total Spend 17/18 </w:t>
            </w:r>
          </w:p>
        </w:tc>
      </w:tr>
      <w:tr w:rsidR="00361B53" w:rsidTr="00B1564A">
        <w:trPr>
          <w:trHeight w:val="349"/>
        </w:trPr>
        <w:tc>
          <w:tcPr>
            <w:tcW w:w="3247" w:type="dxa"/>
            <w:shd w:val="clear" w:color="auto" w:fill="B4C6E7" w:themeFill="accent1" w:themeFillTint="66"/>
          </w:tcPr>
          <w:p w:rsidR="00361B53" w:rsidRDefault="004A2BA2" w:rsidP="00B1564A">
            <w:pPr>
              <w:jc w:val="center"/>
            </w:pPr>
            <w:r>
              <w:t>Axon Resourcing Ltd</w:t>
            </w:r>
          </w:p>
        </w:tc>
        <w:tc>
          <w:tcPr>
            <w:tcW w:w="2746" w:type="dxa"/>
            <w:shd w:val="clear" w:color="auto" w:fill="B4C6E7" w:themeFill="accent1" w:themeFillTint="66"/>
          </w:tcPr>
          <w:p w:rsidR="004A2BA2" w:rsidRDefault="004A2BA2" w:rsidP="009A3DBE">
            <w:pPr>
              <w:jc w:val="center"/>
            </w:pPr>
            <w:r>
              <w:t>£</w:t>
            </w:r>
            <w:r w:rsidR="009A3DBE">
              <w:t>5,221.15</w:t>
            </w:r>
          </w:p>
        </w:tc>
      </w:tr>
      <w:tr w:rsidR="00361B53" w:rsidTr="00B1564A">
        <w:trPr>
          <w:trHeight w:val="349"/>
        </w:trPr>
        <w:tc>
          <w:tcPr>
            <w:tcW w:w="3247" w:type="dxa"/>
            <w:shd w:val="clear" w:color="auto" w:fill="B4C6E7" w:themeFill="accent1" w:themeFillTint="66"/>
          </w:tcPr>
          <w:p w:rsidR="00361B53" w:rsidRDefault="004A2BA2" w:rsidP="00B1564A">
            <w:pPr>
              <w:jc w:val="center"/>
            </w:pPr>
            <w:r>
              <w:t>Hays Specialist Recruitment Ltd</w:t>
            </w:r>
          </w:p>
        </w:tc>
        <w:tc>
          <w:tcPr>
            <w:tcW w:w="2746" w:type="dxa"/>
            <w:shd w:val="clear" w:color="auto" w:fill="B4C6E7" w:themeFill="accent1" w:themeFillTint="66"/>
          </w:tcPr>
          <w:p w:rsidR="00361B53" w:rsidRDefault="004A2BA2" w:rsidP="009A3DBE">
            <w:pPr>
              <w:jc w:val="center"/>
            </w:pPr>
            <w:r>
              <w:t>£</w:t>
            </w:r>
            <w:r w:rsidR="009A3DBE">
              <w:t>1,923.40</w:t>
            </w:r>
          </w:p>
        </w:tc>
      </w:tr>
      <w:tr w:rsidR="00361B53" w:rsidTr="00B1564A">
        <w:trPr>
          <w:trHeight w:val="330"/>
        </w:trPr>
        <w:tc>
          <w:tcPr>
            <w:tcW w:w="3247" w:type="dxa"/>
            <w:shd w:val="clear" w:color="auto" w:fill="B4C6E7" w:themeFill="accent1" w:themeFillTint="66"/>
          </w:tcPr>
          <w:p w:rsidR="00361B53" w:rsidRDefault="004A2BA2" w:rsidP="00B1564A">
            <w:pPr>
              <w:jc w:val="center"/>
            </w:pPr>
            <w:r>
              <w:t>Jobwise Group PLC</w:t>
            </w:r>
          </w:p>
        </w:tc>
        <w:tc>
          <w:tcPr>
            <w:tcW w:w="2746" w:type="dxa"/>
            <w:shd w:val="clear" w:color="auto" w:fill="B4C6E7" w:themeFill="accent1" w:themeFillTint="66"/>
          </w:tcPr>
          <w:p w:rsidR="004A2BA2" w:rsidRDefault="004A2BA2" w:rsidP="009A3DBE">
            <w:pPr>
              <w:jc w:val="center"/>
            </w:pPr>
            <w:r>
              <w:t>£</w:t>
            </w:r>
            <w:r w:rsidR="009A3DBE">
              <w:t>1,964.79</w:t>
            </w:r>
          </w:p>
        </w:tc>
      </w:tr>
      <w:tr w:rsidR="00361B53" w:rsidTr="00B1564A">
        <w:trPr>
          <w:trHeight w:val="349"/>
        </w:trPr>
        <w:tc>
          <w:tcPr>
            <w:tcW w:w="3247" w:type="dxa"/>
            <w:shd w:val="clear" w:color="auto" w:fill="B4C6E7" w:themeFill="accent1" w:themeFillTint="66"/>
          </w:tcPr>
          <w:p w:rsidR="00361B53" w:rsidRDefault="004A2BA2" w:rsidP="00B1564A">
            <w:pPr>
              <w:jc w:val="center"/>
            </w:pPr>
            <w:r>
              <w:t>Reed Specialist Recruitment Ltd</w:t>
            </w:r>
          </w:p>
        </w:tc>
        <w:tc>
          <w:tcPr>
            <w:tcW w:w="2746" w:type="dxa"/>
            <w:shd w:val="clear" w:color="auto" w:fill="B4C6E7" w:themeFill="accent1" w:themeFillTint="66"/>
          </w:tcPr>
          <w:p w:rsidR="00361B53" w:rsidRDefault="004A2BA2" w:rsidP="009A3DBE">
            <w:pPr>
              <w:jc w:val="center"/>
            </w:pPr>
            <w:r>
              <w:t>£</w:t>
            </w:r>
            <w:r w:rsidR="009A3DBE">
              <w:t>11,742.60</w:t>
            </w:r>
          </w:p>
        </w:tc>
        <w:bookmarkStart w:id="0" w:name="_GoBack"/>
        <w:bookmarkEnd w:id="0"/>
      </w:tr>
      <w:tr w:rsidR="00361B53" w:rsidTr="00B1564A">
        <w:trPr>
          <w:trHeight w:val="330"/>
        </w:trPr>
        <w:tc>
          <w:tcPr>
            <w:tcW w:w="3247" w:type="dxa"/>
            <w:shd w:val="clear" w:color="auto" w:fill="B4C6E7" w:themeFill="accent1" w:themeFillTint="66"/>
          </w:tcPr>
          <w:p w:rsidR="00361B53" w:rsidRDefault="00361B53" w:rsidP="00B1564A">
            <w:pPr>
              <w:jc w:val="center"/>
            </w:pPr>
          </w:p>
        </w:tc>
        <w:tc>
          <w:tcPr>
            <w:tcW w:w="2746" w:type="dxa"/>
            <w:shd w:val="clear" w:color="auto" w:fill="B4C6E7" w:themeFill="accent1" w:themeFillTint="66"/>
          </w:tcPr>
          <w:p w:rsidR="00361B53" w:rsidRDefault="00361B53" w:rsidP="00B1564A">
            <w:pPr>
              <w:jc w:val="center"/>
            </w:pPr>
          </w:p>
        </w:tc>
      </w:tr>
    </w:tbl>
    <w:p w:rsidR="00361B53" w:rsidRDefault="00361B53" w:rsidP="00361B53"/>
    <w:p w:rsidR="00F84F42" w:rsidRDefault="00361B53" w:rsidP="00361B53">
      <w:r>
        <w:t xml:space="preserve">5. Does the CCG use or have access to a bank for the supply of temporary workers? (A staff bank is the utilisation of internal staff, often seen as an alternative to agency staff. These workers can be substantive workers, working additional shifts or purely contracted on the CCG staff bank). </w:t>
      </w:r>
      <w:r w:rsidR="00681C6B">
        <w:t>No</w:t>
      </w:r>
    </w:p>
    <w:p w:rsidR="00361B53" w:rsidRDefault="00F84F42" w:rsidP="00361B53">
      <w:r>
        <w:t xml:space="preserve">6. </w:t>
      </w:r>
      <w:r w:rsidR="00361B53">
        <w:t xml:space="preserve">If </w:t>
      </w:r>
      <w:r>
        <w:t>answered yes to Q5</w:t>
      </w:r>
      <w:r w:rsidR="00361B53">
        <w:t xml:space="preserve">, is this the CCGs own bank or a shared resource across other organisations? </w:t>
      </w:r>
      <w:r w:rsidR="00B065DC">
        <w:t xml:space="preserve"> Please provide further details.</w:t>
      </w:r>
      <w:r w:rsidR="00681C6B">
        <w:t xml:space="preserve"> N/A</w:t>
      </w:r>
    </w:p>
    <w:p w:rsidR="00361B53" w:rsidRDefault="00F84F42" w:rsidP="00361B53">
      <w:r>
        <w:t>7</w:t>
      </w:r>
      <w:r w:rsidR="00361B53">
        <w:t xml:space="preserve">. If answered yes to Q5, please provide details of the number of bank staff </w:t>
      </w:r>
      <w:r>
        <w:t xml:space="preserve">(FTE) </w:t>
      </w:r>
      <w:r w:rsidR="00361B53">
        <w:t>and the total spend on bank workers in 17/18.</w:t>
      </w:r>
    </w:p>
    <w:tbl>
      <w:tblPr>
        <w:tblStyle w:val="TableGrid"/>
        <w:tblW w:w="7508" w:type="dxa"/>
        <w:tblLook w:val="04A0" w:firstRow="1" w:lastRow="0" w:firstColumn="1" w:lastColumn="0" w:noHBand="0" w:noVBand="1"/>
      </w:tblPr>
      <w:tblGrid>
        <w:gridCol w:w="1555"/>
        <w:gridCol w:w="1842"/>
        <w:gridCol w:w="2127"/>
        <w:gridCol w:w="1984"/>
      </w:tblGrid>
      <w:tr w:rsidR="00361B53" w:rsidTr="00F84F42">
        <w:trPr>
          <w:trHeight w:val="618"/>
        </w:trPr>
        <w:tc>
          <w:tcPr>
            <w:tcW w:w="1555" w:type="dxa"/>
            <w:shd w:val="clear" w:color="auto" w:fill="AEAAAA" w:themeFill="background2" w:themeFillShade="BF"/>
          </w:tcPr>
          <w:p w:rsidR="00361B53" w:rsidRDefault="00361B53" w:rsidP="00B1564A">
            <w:pPr>
              <w:jc w:val="center"/>
            </w:pPr>
          </w:p>
        </w:tc>
        <w:tc>
          <w:tcPr>
            <w:tcW w:w="1842" w:type="dxa"/>
            <w:shd w:val="clear" w:color="auto" w:fill="B4C6E7" w:themeFill="accent1" w:themeFillTint="66"/>
          </w:tcPr>
          <w:p w:rsidR="00361B53" w:rsidRDefault="00361B53" w:rsidP="00B1564A">
            <w:pPr>
              <w:jc w:val="center"/>
            </w:pPr>
            <w:r>
              <w:t>Total</w:t>
            </w:r>
          </w:p>
        </w:tc>
        <w:tc>
          <w:tcPr>
            <w:tcW w:w="2127" w:type="dxa"/>
            <w:shd w:val="clear" w:color="auto" w:fill="B4C6E7" w:themeFill="accent1" w:themeFillTint="66"/>
          </w:tcPr>
          <w:p w:rsidR="00361B53" w:rsidRDefault="00361B53" w:rsidP="00B1564A">
            <w:pPr>
              <w:jc w:val="center"/>
            </w:pPr>
            <w:r>
              <w:t>Non-clinical staff</w:t>
            </w:r>
          </w:p>
        </w:tc>
        <w:tc>
          <w:tcPr>
            <w:tcW w:w="1984" w:type="dxa"/>
            <w:shd w:val="clear" w:color="auto" w:fill="B4C6E7" w:themeFill="accent1" w:themeFillTint="66"/>
          </w:tcPr>
          <w:p w:rsidR="00361B53" w:rsidRDefault="00361B53" w:rsidP="00B1564A">
            <w:pPr>
              <w:jc w:val="center"/>
            </w:pPr>
            <w:r>
              <w:t>Clinical staff</w:t>
            </w:r>
          </w:p>
        </w:tc>
      </w:tr>
      <w:tr w:rsidR="00361B53" w:rsidTr="00F84F42">
        <w:trPr>
          <w:trHeight w:val="648"/>
        </w:trPr>
        <w:tc>
          <w:tcPr>
            <w:tcW w:w="1555" w:type="dxa"/>
            <w:shd w:val="clear" w:color="auto" w:fill="AEAAAA" w:themeFill="background2" w:themeFillShade="BF"/>
          </w:tcPr>
          <w:p w:rsidR="00361B53" w:rsidRDefault="00361B53" w:rsidP="00B1564A">
            <w:pPr>
              <w:jc w:val="center"/>
            </w:pPr>
            <w:r>
              <w:t>Bank Staff Spend 17/18 (£)</w:t>
            </w:r>
          </w:p>
        </w:tc>
        <w:tc>
          <w:tcPr>
            <w:tcW w:w="1842"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7"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4"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r w:rsidR="00361B53" w:rsidTr="00F84F42">
        <w:trPr>
          <w:trHeight w:val="648"/>
        </w:trPr>
        <w:tc>
          <w:tcPr>
            <w:tcW w:w="1555" w:type="dxa"/>
            <w:shd w:val="clear" w:color="auto" w:fill="AEAAAA" w:themeFill="background2" w:themeFillShade="BF"/>
          </w:tcPr>
          <w:p w:rsidR="00361B53" w:rsidRDefault="00361B53" w:rsidP="00B1564A">
            <w:pPr>
              <w:jc w:val="center"/>
            </w:pPr>
            <w:r>
              <w:t xml:space="preserve">Number of Bank staff </w:t>
            </w:r>
            <w:r w:rsidR="00F84F42">
              <w:t xml:space="preserve">(FTE) </w:t>
            </w:r>
            <w:r>
              <w:t>17/18</w:t>
            </w:r>
          </w:p>
        </w:tc>
        <w:tc>
          <w:tcPr>
            <w:tcW w:w="1842"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7"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4"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bl>
    <w:p w:rsidR="00361B53" w:rsidRDefault="00F84F42" w:rsidP="00361B53">
      <w:r>
        <w:lastRenderedPageBreak/>
        <w:t>8</w:t>
      </w:r>
      <w:r w:rsidR="00361B53">
        <w:t>. Does the CCG use Direct Engagement to employ temporary staff? (This is where the CCG books a worker through an approved agency, but the CCG contracts directly with the worker and processes their payroll either via PAYE or as a limited company).</w:t>
      </w:r>
      <w:r w:rsidR="00681C6B">
        <w:t xml:space="preserve"> No</w:t>
      </w:r>
    </w:p>
    <w:p w:rsidR="00361B53" w:rsidRDefault="00F84F42" w:rsidP="00361B53">
      <w:r>
        <w:t>9</w:t>
      </w:r>
      <w:r w:rsidR="00361B53">
        <w:t>. If answered yes to Q</w:t>
      </w:r>
      <w:r>
        <w:t>8</w:t>
      </w:r>
      <w:r w:rsidR="00361B53">
        <w:t xml:space="preserve">, please provide details of the number of staff </w:t>
      </w:r>
      <w:r>
        <w:t xml:space="preserve">(FTE) </w:t>
      </w:r>
      <w:r w:rsidR="00361B53">
        <w:t>contracted through a Direct Engagement model.</w:t>
      </w:r>
    </w:p>
    <w:tbl>
      <w:tblPr>
        <w:tblStyle w:val="TableGrid"/>
        <w:tblW w:w="7650" w:type="dxa"/>
        <w:tblLook w:val="04A0" w:firstRow="1" w:lastRow="0" w:firstColumn="1" w:lastColumn="0" w:noHBand="0" w:noVBand="1"/>
      </w:tblPr>
      <w:tblGrid>
        <w:gridCol w:w="1696"/>
        <w:gridCol w:w="1843"/>
        <w:gridCol w:w="1985"/>
        <w:gridCol w:w="2126"/>
      </w:tblGrid>
      <w:tr w:rsidR="00361B53" w:rsidTr="00F84F42">
        <w:trPr>
          <w:trHeight w:val="744"/>
        </w:trPr>
        <w:tc>
          <w:tcPr>
            <w:tcW w:w="1696" w:type="dxa"/>
            <w:shd w:val="clear" w:color="auto" w:fill="AEAAAA" w:themeFill="background2" w:themeFillShade="BF"/>
          </w:tcPr>
          <w:p w:rsidR="00361B53" w:rsidRDefault="00361B53" w:rsidP="00B1564A">
            <w:pPr>
              <w:jc w:val="center"/>
            </w:pPr>
          </w:p>
        </w:tc>
        <w:tc>
          <w:tcPr>
            <w:tcW w:w="1843" w:type="dxa"/>
            <w:shd w:val="clear" w:color="auto" w:fill="B4C6E7" w:themeFill="accent1" w:themeFillTint="66"/>
          </w:tcPr>
          <w:p w:rsidR="00361B53" w:rsidRDefault="00361B53" w:rsidP="00B1564A">
            <w:pPr>
              <w:jc w:val="center"/>
            </w:pPr>
            <w:r>
              <w:t>Total</w:t>
            </w:r>
          </w:p>
        </w:tc>
        <w:tc>
          <w:tcPr>
            <w:tcW w:w="1985" w:type="dxa"/>
            <w:shd w:val="clear" w:color="auto" w:fill="B4C6E7" w:themeFill="accent1" w:themeFillTint="66"/>
          </w:tcPr>
          <w:p w:rsidR="00361B53" w:rsidRDefault="00361B53" w:rsidP="00B1564A">
            <w:pPr>
              <w:jc w:val="center"/>
            </w:pPr>
            <w:r>
              <w:t>Non-clinical staff</w:t>
            </w:r>
          </w:p>
        </w:tc>
        <w:tc>
          <w:tcPr>
            <w:tcW w:w="2126" w:type="dxa"/>
            <w:shd w:val="clear" w:color="auto" w:fill="B4C6E7" w:themeFill="accent1" w:themeFillTint="66"/>
          </w:tcPr>
          <w:p w:rsidR="00361B53" w:rsidRDefault="00361B53" w:rsidP="00B1564A">
            <w:pPr>
              <w:jc w:val="center"/>
            </w:pPr>
            <w:r>
              <w:t>Clinical staff</w:t>
            </w:r>
          </w:p>
        </w:tc>
      </w:tr>
      <w:tr w:rsidR="00361B53" w:rsidTr="00F84F42">
        <w:trPr>
          <w:trHeight w:val="648"/>
        </w:trPr>
        <w:tc>
          <w:tcPr>
            <w:tcW w:w="1696" w:type="dxa"/>
            <w:shd w:val="clear" w:color="auto" w:fill="AEAAAA" w:themeFill="background2" w:themeFillShade="BF"/>
          </w:tcPr>
          <w:p w:rsidR="00361B53" w:rsidRDefault="00361B53" w:rsidP="00B1564A">
            <w:pPr>
              <w:jc w:val="center"/>
            </w:pPr>
            <w:r>
              <w:t>Directly Engaged Temporary Staff Spend 17/18 (£)</w:t>
            </w:r>
          </w:p>
        </w:tc>
        <w:tc>
          <w:tcPr>
            <w:tcW w:w="1843"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5"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6"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r w:rsidR="00361B53" w:rsidTr="00F84F42">
        <w:trPr>
          <w:trHeight w:val="648"/>
        </w:trPr>
        <w:tc>
          <w:tcPr>
            <w:tcW w:w="1696" w:type="dxa"/>
            <w:shd w:val="clear" w:color="auto" w:fill="AEAAAA" w:themeFill="background2" w:themeFillShade="BF"/>
          </w:tcPr>
          <w:p w:rsidR="00361B53" w:rsidRDefault="00361B53" w:rsidP="00B1564A">
            <w:pPr>
              <w:jc w:val="center"/>
            </w:pPr>
            <w:r>
              <w:t xml:space="preserve">Number of Directly Engaged staff </w:t>
            </w:r>
            <w:r w:rsidR="00F84F42">
              <w:t xml:space="preserve">(FTE) </w:t>
            </w:r>
            <w:r>
              <w:t>17/18</w:t>
            </w:r>
          </w:p>
        </w:tc>
        <w:tc>
          <w:tcPr>
            <w:tcW w:w="1843"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1985" w:type="dxa"/>
            <w:shd w:val="clear" w:color="auto" w:fill="B4C6E7" w:themeFill="accent1" w:themeFillTint="66"/>
          </w:tcPr>
          <w:p w:rsidR="00361B53" w:rsidRPr="00B66191" w:rsidRDefault="00681C6B" w:rsidP="00B1564A">
            <w:pPr>
              <w:jc w:val="center"/>
              <w:rPr>
                <w:sz w:val="20"/>
                <w:szCs w:val="20"/>
              </w:rPr>
            </w:pPr>
            <w:r>
              <w:rPr>
                <w:sz w:val="20"/>
                <w:szCs w:val="20"/>
              </w:rPr>
              <w:t>N/A</w:t>
            </w:r>
          </w:p>
        </w:tc>
        <w:tc>
          <w:tcPr>
            <w:tcW w:w="2126" w:type="dxa"/>
            <w:shd w:val="clear" w:color="auto" w:fill="B4C6E7" w:themeFill="accent1" w:themeFillTint="66"/>
          </w:tcPr>
          <w:p w:rsidR="00361B53" w:rsidRPr="00B66191" w:rsidRDefault="00681C6B" w:rsidP="00B1564A">
            <w:pPr>
              <w:jc w:val="center"/>
              <w:rPr>
                <w:sz w:val="20"/>
                <w:szCs w:val="20"/>
              </w:rPr>
            </w:pPr>
            <w:r>
              <w:rPr>
                <w:sz w:val="20"/>
                <w:szCs w:val="20"/>
              </w:rPr>
              <w:t>N/A</w:t>
            </w:r>
          </w:p>
        </w:tc>
      </w:tr>
    </w:tbl>
    <w:p w:rsidR="00361B53" w:rsidRDefault="00361B53" w:rsidP="00361B53"/>
    <w:p w:rsidR="00361B53" w:rsidRDefault="00361B53" w:rsidP="00361B53"/>
    <w:sectPr w:rsidR="0036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53"/>
    <w:rsid w:val="00045ACF"/>
    <w:rsid w:val="00075395"/>
    <w:rsid w:val="00290C65"/>
    <w:rsid w:val="003342BD"/>
    <w:rsid w:val="00361B53"/>
    <w:rsid w:val="004078D5"/>
    <w:rsid w:val="004A2BA2"/>
    <w:rsid w:val="00681C6B"/>
    <w:rsid w:val="0093095F"/>
    <w:rsid w:val="009A3DBE"/>
    <w:rsid w:val="00AE6B8D"/>
    <w:rsid w:val="00B065DC"/>
    <w:rsid w:val="00B66191"/>
    <w:rsid w:val="00D678BF"/>
    <w:rsid w:val="00F0016A"/>
    <w:rsid w:val="00F8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Bradbury</dc:creator>
  <cp:lastModifiedBy>Robert Smith</cp:lastModifiedBy>
  <cp:revision>3</cp:revision>
  <dcterms:created xsi:type="dcterms:W3CDTF">2019-02-11T11:23:00Z</dcterms:created>
  <dcterms:modified xsi:type="dcterms:W3CDTF">2019-02-11T11:34:00Z</dcterms:modified>
</cp:coreProperties>
</file>